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E-5530/2024 vom 12. Dezember 2024</w:t>
      </w:r>
    </w:p>
    <w:p>
      <w:r>
        <w:t>Bundesverwaltungsgericht, 2024-12-12, DE</w:t>
      </w:r>
    </w:p>
    <w:p>
      <w:r>
        <w:rPr>
          <w:b/>
        </w:rPr>
        <w:t xml:space="preserve">Quelle: </w:t>
      </w:r>
      <w:r>
        <w:t>https://mcp.opencaselaw.ch/entscheid/bvger_E-5530_2024</w:t>
      </w:r>
    </w:p>
    <w:p>
      <w:r>
        <w:t>FR: TAF E-5530/2024 du 12 décembre 2024</w:t>
      </w:r>
    </w:p>
    <w:p>
      <w:r>
        <w:t>IT: TAF E-5530/2024 del 12 dicembre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105 AsylG i.V.m. Art. 37 VGG und Art. 48 Abs. 1 VwVG). Auf die frist- und formgerecht eingereichte Beschwerde ist - vorbehältlich des unter E. 1.4 Gesagten - einzutreten (Art. 105 und Art. 108 Abs. 3 AsylG; Art. 48 Abs. 1 sowie Art. 52 Abs. 1 VwVG).</w:t>
      </w:r>
    </w:p>
    <w:p>
      <w:r>
        <w:rPr>
          <w:b/>
        </w:rPr>
        <w:t>E. 1.4</w:t>
      </w:r>
    </w:p>
    <w:p>
      <w:r>
        <w:t>Nachdem der Beschwerde von Gesetzes wegen die aufschiebende Wirkung zukommt (Art. 55 Abs. 1 VwVG) und das SEM diese auch nicht entzogen hat, ist auf die Verfahrensanträge auf Erteilung der aufschiebenden Wirkung sowie superprovisorische Aussetzung des Wegweisungsvollzugs nicht einzutreten.</w:t>
      </w:r>
    </w:p>
    <w:p>
      <w:r>
        <w:rPr>
          <w:b/>
        </w:rPr>
        <w:t>E. 2</w:t>
      </w:r>
    </w:p>
    <w:p>
      <w:r>
        <w:t>Die Kognition des Bundesverwaltungsgerichts und die zulässigen Rügen richten sich im Asylbereich nach Art. 106 Abs. 1 AsylG, im Bereich des Ausländerrechts nach Art. 49 VwVG (vgl. BVGE 2014/26 E. 5).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w:t>
      </w:r>
    </w:p>
    <w:p>
      <w:r>
        <w:rPr>
          <w:b/>
        </w:rPr>
        <w:t>E. 3</w:t>
      </w:r>
    </w:p>
    <w:p>
      <w:r>
        <w:t>Gestützt auf Art. 111a Abs. 1 AsylG wurde auf die Durchführung eines Schriftenwechsels verzichtet.</w:t>
      </w:r>
    </w:p>
    <w:p>
      <w:r>
        <w:rPr>
          <w:b/>
        </w:rPr>
        <w:t>E. 4.1</w:t>
      </w:r>
    </w:p>
    <w:p>
      <w:r>
        <w:t>Gemäss Art. 31a Abs. 1 Bst. a AsylG tritt das SEM in der Regel auf Asylgesuche nicht ein, wenn Asylsuchende in einen sicheren Drittstaat nach Art. 6a Abs. 2 Bst. b AsylG zurückkehren können, in welchem sie sich vorher aufgehalten haben. Der Bundesrat bezeichnet neben den Staaten der EU (Europäische Union) / EFTA (Europäische Freihandelsassoziation) weitere Staaten, in denen nach seinen Feststellungen effektiver Schutz vor Rückschiebung im Sinne von Art. 5 Abs. 2 AsylG besteht, als sichere Drittstaaten (Art. 6a Abs. 2 Bst. b AsylG). Von den sicheren Drittstaaten klar abzugrenzen sind die vom Bundesrat bezeichneten sicheren Heimat- oder Herkunftsstaaten, in denen nach den Feststellungen des Bundesrates Sicherheit vor Verfolgung besteht («Safe Country», Art. 6a Abs. 2 Bst. a AsylG); Fälle, die in den Anwendungsbereich von Art. 6a Abs. 2 Bst. a AsylG fallen, sind im Rahmen eines ordentlichen Asylverfahrens zu behandeln (vgl. Art. 31a Abs. 4 AsylG).</w:t>
      </w:r>
    </w:p>
    <w:p>
      <w:r>
        <w:rPr>
          <w:b/>
        </w:rPr>
        <w:t>E. 4.2</w:t>
      </w:r>
    </w:p>
    <w:p>
      <w:r>
        <w:t>Gemäss Bst. c von Art. 31a Abs. 1 AsylG tritt das SEM in der Regel auf ein Asylgesuch nicht ein, wenn Asylsuchende in einen Drittstaat zurückkehren können, in welchem sie sich vorher aufgehalten haben. Diese Bestimmung findet indes keine Anwendung, wenn Hinweise bestehen, dass im Einzelfall im fraglichen Drittstaat kein effektiver Schutz vor Rückschiebung nach Art. 5 Abs. 1 AsylG besteht (vgl. Art. 31a Abs. 2 AsylG).</w:t>
      </w:r>
    </w:p>
    <w:p>
      <w:r>
        <w:rPr>
          <w:b/>
        </w:rPr>
        <w:t>E. 4.3</w:t>
      </w:r>
    </w:p>
    <w:p>
      <w:r>
        <w:t>Aus den Akten geht zwar hervor, dass der Beschwerdeführer sich im Vereinigten Königreich in einem laufenden Asylverfahren befindet und die britischen Behörden der Rückübernahme am 21. Juni 2024 explizit zugestimmt haben. Jedoch verkennt die Vorinstanz in der angefochtenen Verfügung, dass es sich beim Vereinigten Königreich - nach dem am 31. Januar 2020 erfolgten Austritt des Landes aus der EU - weder um einen EU/EFTA-Staat (mehr) handelt noch - mangels eines entsprechenden Beschlusses des Bundesrats - um einen vom Bundesrat bezeichneten sicheren Drittstaat im Sinne von Art. 6a Abs. 2 Bst. b AsylG. Es ist darauf hinzuweisen, dass zwischen sicheren Heimat- oder Herkunftsstaaten («Safe Country») im Sinne von Art. 6a Abs. 2 Bst. a AsylG, und sicheren Drittstaaten gemäss Art. 6a Abs. 2 Bst. b AsylG, zu unterscheiden ist (vgl. oben Ziff. 4.1). Neben den EU/EFTA-Staaten führt der Bundesrat die sicheren Heimat- oder Herkunftsstaaten im Anhang 2 zu Art. 2 der Asylverordnung vom 11. August 1999 über Verfahrensfragen (Asylverordnung 1, AsylV 1; SR 142.311) auf, wozu auch das Vereinigte Königreich zählt. Hingegen hat der Bundesrat ex lege nur die EU/EFTA-Staaten als sichere Drittstaaten bezeichnet und es findet sich zum heutigen Zeitpunkt kein Beschluss und keine Verordnung des Bundesrates, die weitere sichere Drittstaaten - insbesondere das Vereinigte Königreich - im Sinne von Art. 6a Abs. 2 Bst. b AsylG vorsehen (vgl. auch Schweizerische Flüchtlingshilfe SFH [Hrsg.], Handbuch zum Asyl- und Wegweisungsverfahren, 3. Aufl. 2021, S. 135 f.). Somit sind vorliegend die Voraussetzungen für die Anwendung von Art. 31a Abs. 1 Bst. a AsylG nicht erfüllt. Daran ändert der Umstand, dass dies in zwei im Einzelrichterverfahren ergangenen Urteilen des Bundesverwaltungsgerichts (D-6301/2024 vom 26. September 2024 E. 5 und E-4819/2023 vom 13. September 2023 E. 8) anders entschieden wurde, nichts. Ergänzend ist das SEM darauf hinzuweisen, dass es ihm freisteht, beim Bundesrat einen Antrag um Bezeichnung des Vereinigten Königreichs als sicheren Drittstaat im Sinne von Art. 6a Bst. b AsylG zu stellen.</w:t>
      </w:r>
    </w:p>
    <w:p>
      <w:r>
        <w:rPr>
          <w:b/>
        </w:rPr>
        <w:t>E. 4.4</w:t>
      </w:r>
    </w:p>
    <w:p>
      <w:r>
        <w:t>Das SEM ist demnach zu Unrecht in Anwendung von Art. 31a Abs. 1 Bst. a AsylG auf das Asylgesuch des Beschwerdeführers nicht eingetreten. Offen und vom SEM zu prüfen bleibt, ob vorliegend allenfalls die Nichteintretensgründe von Art. 31a Abs. 1 Bst. c AsylG erfüllt sind (vgl. oben Ziff. 4.2).</w:t>
      </w:r>
    </w:p>
    <w:p>
      <w:r>
        <w:rPr>
          <w:b/>
        </w:rPr>
        <w:t>E. 5</w:t>
      </w:r>
    </w:p>
    <w:p>
      <w:r>
        <w:t>Nach dem Gesagten ist festzustellen, dass die angefochtene Verfügung Bundesrecht verletzt (Art. 106 Abs. 1 AsylG). Die Vorinstanz hat insbesondere zu Unrecht die Nichteintretensgründe von Art. 31a Abs. 1 Bst. a AsylG betreffend das Asylgesuch des Beschwerdeführers vom 3. Juni 2024 als erfüllt erachtet und damit das rechtliche Gehör sowie Verwaltungsverfahrensvorschriften verletzt. Gleichzeitig hat es den Sachverhalt unrichtig festgestellt. Die Beschwerde ist daher gutzuheissen, soweit darauf einzutreten ist, und die vorinstanzliche Verfügung ist aufzuheben. Angesichts der Schwere des Mangels kommt ein reformatorischer Entscheid nicht in Betracht und in Anwendung von Art. 61 Abs. 1 VwVG ist die angefochtene Verfügung zu kassieren. Die Sache ist zu neuer Entscheidung an die Vorinstanz zurückzuweisen. Diese wird angewiesen, das Asylgesuch des Beschwerdeführers vom 3. Juni 2024 erneut - insbesondere hinsichtlich allfälliger Nichteintretensgründe nach Art. 31a Abs. 1 Bst. c AsylG - zu qualifizieren und nach den massgeblichen gesetzlichen Bestimmungen entweder darauf nicht einzutreten oder andernfalls darauf einzutreten und es im Rahmen eines ordentlichen Asylverfahrens materiell (in Bezug auf den Heimatstaat Zentralafrikanische Republik) zu behandeln.</w:t>
      </w:r>
    </w:p>
    <w:p>
      <w:r>
        <w:rPr>
          <w:b/>
        </w:rPr>
        <w:t>E. 6</w:t>
      </w:r>
    </w:p>
    <w:p>
      <w:r>
        <w:t>Angesichts dieses Verfahrensausgangs erübrigt sich eine Auseinandersetzung mit den weiteren Beschwerdevorbringen. Diese werden jedoch integraler Bestandteil des wiederaufzunehmenden erstinstanzlichen Verfahrens und entsprechend von der Vorinstanz mitzuberücksichtigen sein.</w:t>
      </w:r>
    </w:p>
    <w:p>
      <w:r>
        <w:rPr>
          <w:b/>
        </w:rPr>
        <w:t>E. 7.1</w:t>
      </w:r>
    </w:p>
    <w:p>
      <w:r>
        <w:t>Bei diesem Ausgang des Verfahrens sind keine Kosten zu erheben (Art. 63 Abs. 1 und 2 VwVG). Die Gesuche um Gewährung der unentgeltlichen Prozessführung inklusive Kostenvorschussverzicht sowie um Bestellung einer amtlichen Rechtsbeiständin sind damit gegenstandslos geworden.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