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E-5529/2022 vom 5. Dezember 2022</w:t>
      </w:r>
    </w:p>
    <w:p>
      <w:r>
        <w:t>Bundesverwaltungsgericht, 2022-12-05, DE</w:t>
      </w:r>
    </w:p>
    <w:p>
      <w:r>
        <w:rPr>
          <w:b/>
        </w:rPr>
        <w:t xml:space="preserve">Quelle: </w:t>
      </w:r>
      <w:r>
        <w:t>https://mcp.opencaselaw.ch/entscheid/bvger_E-5529_2022</w:t>
      </w:r>
    </w:p>
    <w:p>
      <w:r>
        <w:t>FR: TAF E-5529/2022 du 5 décembre 2022</w:t>
      </w:r>
    </w:p>
    <w:p>
      <w:r>
        <w:t>IT: TAF E-5529/2022 del 5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In den Rechtsbegehren der Beschwerde wird ausdrücklich die Aufhebung der Ziffern 1 bis 5 und 7 der angefochtenen Verfügung beantragt. Die Begründung hält zudem fest, dass vorerst auf die Geltendmachung der Minderjährigkeit verzichtet und eine ZEMIS-Beschwerde vorbehalten werde. Die Anpassung des Geburtsdatums im ZEMIS auf den (...) bildet somit jedenfalls nicht Gegenstand des vorliegenden Verfahrens.</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 wie vorliegend - findet demgegenüber grundsätzlich keine (erneute) Zuständigkeitsprüfung nach Kapitel III statt (vgl. zum Ganzen BVGE 2017 VI/5 E. 6.2 und 8.2.1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5.5</w:t>
      </w:r>
    </w:p>
    <w:p>
      <w:r>
        <w:t>Ein Abgleich der Fingerabdrücke des Beschwerdeführers mit der Eurodac-Datenbank ergab, dass dieser am 24. Juni 2022 in Bulgarien ein Asylgesuch gestellt hatte (SEM-Akte 1189556-8/2). Die bulgarischen Behörden stimmten dem Ersuchen der Vorinstanz mit Schreiben vom 25. Oktober 2022 gestützt auf Art. 18 Abs. 1 Bst. c Dublin-III-VO ausdrücklich zu (SEM-Akte 1189556-24/1). Die Zuständigkeit Bulgariens ist somit grundsätzlich gegeben, was vom Beschwerdeführer nicht bestritten wird.</w:t>
      </w:r>
    </w:p>
    <w:p>
      <w:r>
        <w:rPr>
          <w:b/>
        </w:rPr>
        <w:t>E. 6.1</w:t>
      </w:r>
    </w:p>
    <w:p>
      <w:r>
        <w:t>Der Beschwerdeführer macht in seiner Beschwerdeschrift im Wesentlichen geltend, er habe geschildert, dass er mehrfach von der bulgarischen Polizei geschlagen worden sei und dabei eine Knochenfraktur erlitten habe. Weiter habe er davon berichtet, gegen seinen Willen mehr als 24 Stunden in einem Kellerraum festgehalten und schliesslich zur Abgabe seiner Fingerabdrücke gezwungen worden zu sein. Daraufhin sei er für 15 Tage in einem geschlossenen Camp unter menschenunwürdigen Zuständen festgehalten, geschlagen, beleidigt und beschimpft worden. Medizinische Hilfe sei ihm dort ebenfalls verweigert worden. Er habe lediglich zwei Mahlzeiten am Tag erhalten und dauernd unter Hunger gelitten. Das offene Camp habe dieselben Mängel aufgewiesen. Das SEM habe diese Umstände bei der Prüfung des vorliegenden Einzelfalles nicht gewürdigt. Zudem habe es versäumt, sich mit der aktuellen Lage in Bulgarien aufgrund des Ukrainekriegs auseinanderzusetzten. Das bereits mangelhafte Asyl- und Gesundheitssystem Bulgariens werde dadurch nämlich zusätzlich belastet. Gemäss Rechtsprechung des Europäischen Gerichtshofs für Menschenrechte (EGMR), des Bundesverwaltungsgerichts sowie des Berichts der Schweizerischen Flüchtlingshilfe (SFH) vom 13. September 2022 könne die Regelvermutung, wonach sich Bulgarien an seine völkerrechtlichen Verpflichtungen hielte, nicht aufrecht erhalten werden, da die von ihm in Bulgarien erlebten geschilderte Gewalt eine Verletzung von Art. 3 EMRK darstelle (unter Verweis auf den Bericht der SFH Polizeigewalt in Bulgarien und Kroatien vom 13. September 2022; Urteil des BVGer F-2707/2022 vom 12. Oktober 2022).</w:t>
      </w:r>
    </w:p>
    <w:p>
      <w:r>
        <w:rPr>
          <w:b/>
        </w:rPr>
        <w:t>E. 6.2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6.3.1</w:t>
      </w:r>
    </w:p>
    <w:p>
      <w:r>
        <w:t>Im Lichte von Art. 3 Abs. 2 Dublin-III-VO ist zu prüfen, ob es wesentliche Gründe für die Annahme gibt, dass das Asylverfahren und die Aufnahmebedingungen für Asylsuchende in Bulgarien systemische Schwachstellen aufweisen, die eine Gefahr einer unmenschlichen oder entwürdigenden Behandlung im Sinne des Artikels 4 der EU-Grundrechtecharta mit sich bringen würden.</w:t>
      </w:r>
    </w:p>
    <w:p>
      <w:r>
        <w:rPr>
          <w:b/>
        </w:rPr>
        <w:t>E. 6.3.2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aber nicht als unmenschlich oder entwürdigend qualifiziert werden (Referenzurteil F-7195/2018 E. 6.6.1 und 6.6.7). An dieser Praxis hat das Bundesverwaltungsgericht auch unter Berücksichtigung der Belastung des Asylsystems durch ukrainische Kriegsflüchtlinge festgehalten (vgl. etwa Urteil des BVGer D-4840/2022 vom 31. Oktober 2022 E. 6.3.2. und E-4193/2022 vom 28. September 2022 E. 5.3 m.H.).</w:t>
      </w:r>
    </w:p>
    <w:p>
      <w:r>
        <w:rPr>
          <w:b/>
        </w:rPr>
        <w:t>E. 6.3.3</w:t>
      </w:r>
    </w:p>
    <w:p>
      <w:r>
        <w:t>Der Beschwerdeführer verweist insbesondere auf einen Bericht der SFH vom 13. September 2022 (Polizeigewalt in Bulgarien und Kroatien: Konsequenzen für Dublin-Überstellungen). Darin wird unter anderem festgehalten, dass angesichts der Dichte der Belege über Polizeigewalt in Bulgarien von einer systematischen Gewaltanwendung ausgegangen werden müsse, welche vom Staat zumindest geduldet werde. Die Regelvermutung, dass sich Bulgarien, an seine völkerrechtlichen Verpflichtungen halte, könne daher nach Auffassung der SFH nicht aufrechterhalten werden, weshalb sich eine Überstellung dorthin grundsätzlich als unzulässig und unzumutbar erweise. Trotz dieser Einschätzung geht das Bundesverwaltungsgericht nach wie vor davon aus, dass das Asylsystem Bulgariens keine systemischen Mängel aufweist und im Einzelfall zu prüfen ist, ob es Gründe gibt, die einer Überstellung entgegenstehen könnten. Was denn auch das vom Beschwerdeführer angeführte Urteil des Bundesverwaltungsgerichts F-2707/2022 so festhält. Zudem ist darauf hinzuweisen, dass sich das genannte Urteil F-2707/2022 insbesondere mit der Situation eines ernsthaft erkrankten Asylsuchenden auseinandersetzt, wohingegen der Beschwerdeführer in casu keine ernsthaften gesundheitlichen Probleme aufweist ([...] [vgl. SEM-Akte 1189556-13/15 S. 14; 1189556-32/3 S. 2]). Im Übrigen bringt der Beschwerdeführer nichts vor, das Anlass zur Änderung der Rechtsprechung geben könnte. Eine Anwendung von Art. 3 Abs. 2 Dublin-III-VO ist daher nicht gerechtfertigt.</w:t>
      </w:r>
    </w:p>
    <w:p>
      <w:r>
        <w:rPr>
          <w:b/>
        </w:rPr>
        <w:t>E. 6.4</w:t>
      </w:r>
    </w:p>
    <w:p>
      <w:r>
        <w:t>Der Beschwerdeführer macht weiter geltend, er sei in Bulgarien mehrmals geschlagen worden, habe eine Knochenfraktur erlitten und er sei gegen seinen Willen mehr als 24 Stunden in einem Kellerraum festgehalten worden. Die Bedingungen sowohl im geschlossene als auch im offenen Camp seien menschenunwürdig gewesen. Er habe zu wenig Essen erhalten und sei medizinisch nicht versorgt worden. Diesbezüglich ist festzuhalten, dass seine Schilderung in diesem Zusammenhang relativ oberflächlich blieben (SEM-Akte 1189556-13/15 S. 7 und 8; 1189556-32/3). Selbst bei Wahrunterstellung der Vorkommnisse ist indessen nicht davon auszugehen, der Beschwerdeführer sei aufgrund einzelner Zwischenfälle in Bulgarien per se der Gefahr von gewalttätigen Übergriffen ausgesetzt. Bei erlebter Gewalt kann er sich an die dort zuständigen Justizbehörden wenden, was er bisher offensichtlich nicht getan hat. Auch wenn es - wie der erwähnte Bericht der SFH darlegt - subjektiv schwierig ist, sich an die Behörden jenes Staates zu wenden, dessen Beamte die geltend gemachten Misshandlungen verursacht haben, so ist dies nicht als grundsätzlich unzumutbar zu erachten. Ebenso ist es dem Beschwerdeführer zuzumuten, sich im Falle von unhaltbaren Zuständen bei der Unterbringung an die bulgarischen Behörden zu wenden und die ihm gemäss Aufnahmerichtlinie zustehenden Rechte einzufordern.</w:t>
      </w:r>
    </w:p>
    <w:p>
      <w:r>
        <w:rPr>
          <w:b/>
        </w:rPr>
        <w:t>E. 6.5</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Die gesundheitlichen Beschwerden des Beschwerdeführers ([...]) sind nicht als derart schwerwiegend anzusehen, dass aus humanitären Gründen oder gar wegen einer drohenden Verletzung von Art. 3 EMRK von einer Überstellung nach Bulgarien abgesehen werden müsste (SEM-Akte 1189556-13/15 S. 14; 1189556-32/3 S. 2). Im Übrigen ist allgemein bekannt, dass Bulgarien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Bulgarien dem Beschwerdeführer eine adäquate medizinische Behandlung verweigern würde. Der Beschwerdeführer konnte nicht nachweisen, dass er nicht reisefähig sei oder eine Überstellung seine Gesundheit ernsthaft gefährden würde.</w:t>
      </w:r>
    </w:p>
    <w:p>
      <w:r>
        <w:rPr>
          <w:b/>
        </w:rPr>
        <w:t>E. 6.6</w:t>
      </w:r>
    </w:p>
    <w:p>
      <w:r>
        <w:t>Zusammenfassend liegt kein Grund für die Anwendung der Ermessensklausel von Art. 17 Dublin-III-VO beziehungsweise Art. 29a Abs. 3 AsylV 1 vor. Weder ist die Schweiz verpflichtet, auf das Asylgesuch einzutreten, noch liegen humanitäre Gründe vor, welche einen Selbsteintritt nahelegen würden. Das SEM ist daher zu Recht auf das Asylgesuch des Beschwerdeführers nicht eingetreten. Da er nicht im Besitz einer gültigen Aufenthalts- oder Niederlassungsbewilligung ist, wurde die Überstellung nach Italien in Anwendung von Art. 44 AsylG ebenfalls zu Recht angeordnet (Art. 32 Bst. a AsylV 1). Nach dem Gesagten erweisen sich die erhobenen formellen Rügen (Verletzung des rechtlichen Gehörs aufgrund einer Verletzung der Begründungspflicht sowie eine unvollständige/unrichtige Sachverhaltsfeststellung) als unbegründet. Es besteht somit auch keine Veranlassung zur Rückweisung der Sache an die Vorinstanz im Sinne des Eventualbegehrens.</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 Das Beschwerdeverfahren ist mit vorliegendem Urteil abgeschlossen, weshalb sich der Antrag auf Gewährung der aufschiebenden Wirkung als gegenstandslos erweist. Der angeordnete Vollzugsstopp fällt mir vorliegendem Urteil dahin.</w:t>
      </w:r>
    </w:p>
    <w:p>
      <w:r>
        <w:rPr>
          <w:b/>
        </w:rPr>
        <w:t>E. 9</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