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E-5528/2018 vom 2. November 2018</w:t>
      </w:r>
    </w:p>
    <w:p>
      <w:r>
        <w:t>Bundesverwaltungsgericht, 2018-11-02, DE</w:t>
      </w:r>
    </w:p>
    <w:p>
      <w:r>
        <w:rPr>
          <w:b/>
        </w:rPr>
        <w:t xml:space="preserve">Quelle: </w:t>
      </w:r>
      <w:r>
        <w:t>https://mcp.opencaselaw.ch/entscheid/bvger_E-5528_2018</w:t>
      </w:r>
    </w:p>
    <w:p>
      <w:r>
        <w:t>FR: TAF E-5528/2018 du 2 novembre 2018</w:t>
      </w:r>
    </w:p>
    <w:p>
      <w:r>
        <w:t>IT: TAF E-5528/2018 del 2 novembre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wurde nicht nur form-, sondern auch fristgerecht eingereicht. Gemäss der Sendungsverfolgung der Schweizerischen Post - die zusammen mit dem Schreiben des Kantons E._______ vom 21. September 2018 ans Bundesverwaltungsgericht übermittelt wurde (vgl. Bst. K) - wurde die angefochtene Verfügung dem Beschwerdeführer am 24. September 2018 eröffnet. Mit der Rechtsmitteleingabe vom 27. September 2018 (Poststempel) wurde die Frist von fünf Arbeitstagen demnach eingehalten.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1.5</w:t>
      </w:r>
    </w:p>
    <w:p>
      <w:r>
        <w:t>Auf die Beschwerde ist mithin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w:t>
      </w:r>
    </w:p>
    <w:p>
      <w:r>
        <w:rPr>
          <w:b/>
        </w:rPr>
        <w:t>E. 4</w:t>
      </w:r>
    </w:p>
    <w:p>
      <w:r>
        <w:t>Im Asylverfahren - wie auch im übrigen Verwaltungsverfahren - gilt der Untersuchungsgrundsatz (Art. 12 VwVG i.V.m. Art. 6 AsylG). Dieser besagt, dass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2013, Rz. 1043 ff.).</w:t>
      </w:r>
    </w:p>
    <w:p>
      <w:r>
        <w:rPr>
          <w:b/>
        </w:rPr>
        <w:t>E. 5.1</w:t>
      </w:r>
    </w:p>
    <w:p>
      <w:r>
        <w:t>Das SEM hielt in der angefochtenen Verfügung fest, dass es sich beim Beschwerdeführer, B._______ und ihrem gemeinsamen Sohn nicht um eine Familie im Sinne von Art. 8 EMRK handle. In der Folge trat es auf das Asylgesuch des Beschwerdeführers nicht ein und wies ihn nach Bulgarien weg, während es im Fall von C._______ und B._______ entschied, ihr Asylgesuch in der Schweiz zu prüfen.</w:t>
      </w:r>
    </w:p>
    <w:p>
      <w:r>
        <w:rPr>
          <w:b/>
        </w:rPr>
        <w:t>E. 5.2</w:t>
      </w:r>
    </w:p>
    <w:p>
      <w:r>
        <w:t>Zwar ist das Bestehen einer Familiengemeinschaft im Sinne von Art. 8 EMRK angesichts der Tatsache, dass der Beschwerdeführer von seiner ersten Ehefrau noch nicht rechtsgültig geschieden zu sein scheint, für die Beziehung zwischen ihm und B._______ tatsächlich fraglich. Für die Beziehung zwischen ihm und C._______ vermag diese Schlussfolgerung des SEM demgegenüber aus den nachfolgenden Gründen nicht zu überzeugen. Die ungeschiedene Ehe des Beschwerdeführers mit seiner ersten Frau kann der Qualifikation der Beziehung zwischen ihm und seinem Sohn als Familiengemeinschaft im Sinne von Art. 8 EMRK nicht entgegengehalten werden (vgl. Boughanemi gegen Frankreich vom 24. April 1996, Beschwerde Nr. 22070/93, § 35; Berrehab gegen Niederlande vom 21. Juni 1988, Beschwerde Nr. 10730/84, § 21). Ferner ist auch das SEM bis zur abschlägigen Antwort der bulgarischen Behörden betreffend die Übernahme von C._______ und B._______ von einer nahen, dauerhaften und tatsächlich gelebte Beziehung zwischen dem Beschwerdeführer, seiner Partnerin und seinem Sohn ausgegangen. Es registrierte den Beschwerdeführer, C._______ und B._______ unter derselben N-Nummer. Überdies ersuchte es bereits die deutschen und später auch die bulgarischen Behörden darum, C._______ und B._______ zwecks Aufrechterhaltung des Familienlebens zusammen mit dem Beschwerdeführer aufzunehmen (vgl. A18/16 und A46/12). Im Gesuch an die deutschen Behörden verwies es denn auch auf die in Deutschland schon erfolgte Vaterschaftsanerkennung des Beschwerdeführers vor dem Kreisjugendamt des Landratsamtes F._______ vom 8. Oktober 2015 und auf die von ihm gegenüber dieser Behörde abgegebene Sorgeerklärung, ebenfalls vom 8. Oktober 2015 (vgl. A10 und A13). Wäre es nicht von einer nahen, dauerhaften und tatsächlich gelebten Beziehung ausgegangen, hätte es B._______ zudem kaum darum ersucht, einzuwilligen, dass Bulgarien auch für die Prüfung ihres Asylgesuchs zuständig ist. Es erscheint widersprüchlich, dass das SEM in der angefochtenen Verfügung nun das Gegenteil behauptet. Das Argument, die eineinhalbjährige Trennung nach der Wegweisung von C._______ und B._______ nach Albanien stehe einer dauerhaften und tatsächlich gelebten Beziehung im Sinne von Art. 8 EMRK entgegen, vermag denn auch nicht zu überzeugen, war diese Trennung doch - wie auf Beschwerdeebene zu Recht vorgebracht - unfreiwillig. Das SEM hat zudem nicht widerlegt, dass der Beschwerdeführer, wie von ihm und auch von B._______ geltend gemacht, während dieser Zeit ständig in Kontakt mit seinem Sohn stand und ihn und seine Mutter finanziell unterstützte. Vielmehr hat es diese Elemente in die Sachverhaltsdarstellung im Rahmen seiner Übernahmeersuchen an die deutschen und bulgarischen Behörden aufgenommen (vgl. A18/16 und A46/12). Nach dem Gesagten sind den vorinstanzlichen Akten nicht genügend Anhaltspunkte dafür zu entnehmen, um eine Familiengemeinschaft gemäss Art. 8 EMRK zwischen dem Beschwerdeführer und seinem Sohn zu verneinen.</w:t>
      </w:r>
    </w:p>
    <w:p>
      <w:r>
        <w:rPr>
          <w:b/>
        </w:rPr>
        <w:t>E. 5.3</w:t>
      </w:r>
    </w:p>
    <w:p>
      <w:r>
        <w:t>Für den Fall, dass das Bestehen einer Familiengemeinschaft im Sinne von Art. 8 EMRK nach eingehender Abklärung des Sachverhalts zu bejahen wäre, wäre dies voraussichtlich zumindest bei der Frage der Wegweisung und beim Vollzug zu berücksichtigen, weil dort dem Grundsatz der Einheit der Familie Rechnung zu tragen ist (vgl. Art. 44 AsylG, 2. Teilsatz). Demnach müssen Familienmitglieder, deren Beziehung in den Schutzbereich von Art. 8 EMRK fällt, gleichzeitig weggewiesen werden, und die Zulässigkeit und Zumutbarkeit ihres Wegweisungsvollzugs muss - vorliegend zusätzlich unter Berücksichtigung des Kindeswohls von C._______ - auf koordinierte Weise geprüft werden (vgl. Entscheidungen und Mitteilungen der Schweizerischen Asylrekurskommission [EMARK] 1999 Nr. 1 E. 4). Die öffentlich zugängliche Weisung des SEM zu Wegweisung und Vollzug vom 1. Januar 2008 (Stand 1. März 2017) sieht den gestaffelten Vollzug denn auch nur in Fällen vor, in denen Familienmitglieder, die von der gleichen Wegweisungsverfügung betroffen sind, die Ausreisefrist unbenutzt verstreichen liessen (S. 7 und 10). Eine solche Situation ist vorliegend offensichtlich nicht gegeben.</w:t>
      </w:r>
    </w:p>
    <w:p>
      <w:r>
        <w:rPr>
          <w:b/>
        </w:rPr>
        <w:t>E. 6.1</w:t>
      </w:r>
    </w:p>
    <w:p>
      <w:r>
        <w:t>Gemäss Art. 61 Abs. 1 VwVG entscheidet das Bundesverwaltungsgericht in der Sache selbst oder weist diese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Nach dem in E. 5 Gesagten sind der heutigen Aktenlage zufolge nicht genügend Anhaltspunkte dafür vorhanden, um das Bestehen einer Familiengemeinschaft gemäss Art. 8 EMRK zwischen dem Beschwerdeführer und seinem Sohn ernsthaft in Frage zu stellen. Bei weiteren Zweifeln daran wären zusätzliche Abklärungen zum Vorliegen einer nahen, dauerhaften und tatsächlich gelebten Beziehung im Sinne der genannten Bestimmung zu tätigen. Angesichts dessen und weil die Verfahren des Beschwerdeführers und von C._______ und B._______ bei der Bejahung der Familiengemeinschaft zwischen dem Beschwerdeführer und seinem Sohn koordiniert zu führen wären, erscheint es angezeigt, die angefochtene Verfügung aufzuheben und die Sache zwecks vollständiger und richtiger Abklärung des rechtserheblichen Sachverhalts und allenfalls zwecks Koordination der genannten Verfahren ans SEM zurückzuweisen. Zudem hat das SEM dem Beschwerdeführer Einsicht in den (anonymisierten) E-Mailverkehr mit den bulgarischen Behörden vom 23. März respektive vom 9. April 2018 (A30/2 und A33/2) zu gewähren, da es sich entgegen der Ansicht des SEM bei diesen Dokumenten nicht um interne Akten handelt. Die Akteneinsicht in die Dokumente A20/3 und A48/1 wurde demgegenüber richtig gewährt, handelt es sich beim offengelegten Aktenstück A21/3 doch um die anonymisierte Version von A20/3 und beim offengelegten Aktenstück A49/1 um die anonymisierte Version von A48/1.</w:t>
      </w:r>
    </w:p>
    <w:p>
      <w:r>
        <w:rPr>
          <w:b/>
        </w:rPr>
        <w:t>E. 7</w:t>
      </w:r>
    </w:p>
    <w:p>
      <w:r>
        <w:t>Die Beschwerde ist somit gutzuheissen, soweit die Aufhebung der angefochtenen Verfügung beantragt wird. Der vorinstanzliche Entscheid vom 17. September 2018 ist aufzuheben und die Sache im Sinne der Erwägungen zur Neubeurteilung ans SEM zurückzuweisen.</w:t>
      </w:r>
    </w:p>
    <w:p>
      <w:r>
        <w:rPr>
          <w:b/>
        </w:rPr>
        <w:t>E. 8.1</w:t>
      </w:r>
    </w:p>
    <w:p>
      <w:r>
        <w:t>Bei diesem Ausgang des Verfahrens sind keine Kosten zu erheben (Art. 63 Abs. 1 VwVG).</w:t>
      </w:r>
    </w:p>
    <w:p>
      <w:r>
        <w:rPr>
          <w:b/>
        </w:rPr>
        <w:t>E. 8.2</w:t>
      </w:r>
    </w:p>
    <w:p>
      <w:r>
        <w:t>Der Antrag auf Gewährung der unentgeltlichen Rechtspflege, inklusive Verbeiständung, ist gegenstandslos geworden und deshalb abzuschreiben.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