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E-5526/2015 vom 30. März 2016</w:t>
      </w:r>
    </w:p>
    <w:p>
      <w:r>
        <w:t>Bundesverwaltungsgericht, 2016-03-30, DE</w:t>
      </w:r>
    </w:p>
    <w:p>
      <w:r>
        <w:rPr>
          <w:b/>
        </w:rPr>
        <w:t xml:space="preserve">Quelle: </w:t>
      </w:r>
      <w:r>
        <w:t>https://mcp.opencaselaw.ch/entscheid/bvger_E-5526_2015</w:t>
      </w:r>
    </w:p>
    <w:p>
      <w:r>
        <w:t>FR: TAF E-5526/2015 du 30 mars 2016</w:t>
      </w:r>
    </w:p>
    <w:p>
      <w:r>
        <w:t>IT: TAF E-5526/2015 del 30 marzo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Zeitpunkt der Eröffnung der angefochtenen Verfügung steht mangels Empfangsbestätigung nicht fest. Da die Beweislast für die Zustellung an die Partei der eröffnenden Behörde obliegt (vgl. Moser/Beusch/Kneubühler, Prozessieren vor dem Bundesverwaltungsgericht, Basel 2013, 2. Aufl., Rz. 2.112, S. 76), ist zu Gunsten der Beschwerdeführenden davon auszugehen, dass die Beschwerde rechtzeitig erfolgt ist.</w:t>
      </w:r>
    </w:p>
    <w:p>
      <w:r>
        <w:rPr>
          <w:b/>
        </w:rPr>
        <w:t>E. 1.3</w:t>
      </w:r>
    </w:p>
    <w:p>
      <w:r>
        <w:t>Die Beschwerdeführenden sind als Verfügungsadressaten zur Beschwerdeführung legitimiert (Art. 48 VwVG). Auf die frist- und formgerecht eingereichte Beschwerde (Art. 108 Abs. 1 AsylG und Art. 52 Abs. 1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die bereits zehn Jahre zurückliegende Gefangenschaft durch die LTTE sei im heutigen Zeitpunkt weder aktuell noch einreiserelevant. Die Freilassung des Beschwerdeführers aus dem Rehabilitations-Lager mache deutlich, dass er von den sri-lankischen Sicherheitsbehörden nicht mehr verdächtigt werde, in terroristische Aktivitäten verwickelt zu sein. Offenbar stehe der Beschwerdeführer auch nach seiner Entlassung unter Beobachtung der Behörden und werde regelmässig befragt. Derartigen Massnahmen käme jedoch aufgrund der mangelnden Intensität kein Verfolgungscharakter zu. Eine aktuelle asylrelevante Verfolgung müsse deshalb verneint werden. Es sei ebenfalls davon auszugehen, dass er bei einem weiteren Verbleib in Sri Lanka ebenfalls keine asylrelevante Verfolgung zu befürchten habe.</w:t>
      </w:r>
    </w:p>
    <w:p>
      <w:r>
        <w:rPr>
          <w:b/>
        </w:rPr>
        <w:t>E. 5.2</w:t>
      </w:r>
    </w:p>
    <w:p>
      <w:r>
        <w:t>Die Beweiswürdigung der Vorinstanz ist nicht zu beanstanden. Die Beschwerdeführenden setzen sich damit nicht ansatzweise auseinander. Sie zeigen nicht auf, inwiefern die angefochtene Verfügung Bundesrecht verletzen oder den Sachverhalt fehlerhaft feststellen soll. Solches ist auch nicht ersichtlich. Das Bundesverwaltungsgericht anerkennt,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(dazu im Einzelnen BVGE 2011/24). Gemäss dem vorgenannten Entscheid unterliegen Personen, die auch nach Beendigung des Bürgerkriegs verdächtigt werden, mit den LTTE in Verbindung zu stehen beziehungsweise gestanden zu sein, einer erhöhten Verfolgungsgefahr. Der Beschwerdeführer gehörte gemäss eigener Aussagen zum Kader der LTTE und arbeitete hauptsächlich als (...). Trotz seines Profils unterliegt er keiner erhöhten Verfolgungsgefahr. Wie bereits die Vor­instanz feststellte, sind dem Beschwerdeführer keine ernsthaften Nachteile im Sinne von Art. 3 AsylG widerfahren. Zwar soll nicht in Abrede gestellt werden, dass die vorgebrachten Überwachungsmassnahmen der sri-lankischen Sicherheitsbehörden auf den Beschwerdeführer und seine Familie belastend wirken. Allerdings sind sie nicht von einer solchen Intensität, dass sie bei objektiver Betrachtung geeignet wären, einen unerträglichen psychischen Druck auf sie zu bewirken. Bezüglich der weiteren Vorbringen des Beschwerdeführers (Inhaftierung durch die LTTE, künftige Verfolgung) ist, um Wiederholungen zu vermeiden, auf die zutreffenden Erwägungen in der angefochtenen Verfügung zu verweisen. Aus den im vorinstanzlichen Verfahren eingereichten Beweismitteln können die Beschwerdeführenden nichts zu ihren Gunsten ableiten. Ihnen ist somit ein weiterer Verbleib in Sri Lanka zumutbar und sie sind nicht auf den Schutz der Schweiz angewiesen. Die Vorinstanz hat demnach den Beschwerdeführenden und ihren Kindern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