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E-5522/2017 vom 30. Januar 2018</w:t>
      </w:r>
    </w:p>
    <w:p>
      <w:r>
        <w:t>Bundesverwaltungsgericht, 2018-01-30, DE</w:t>
      </w:r>
    </w:p>
    <w:p>
      <w:r>
        <w:rPr>
          <w:b/>
        </w:rPr>
        <w:t xml:space="preserve">Quelle: </w:t>
      </w:r>
      <w:r>
        <w:t>https://mcp.opencaselaw.ch/entscheid/bvger_E-5522_2017</w:t>
      </w:r>
    </w:p>
    <w:p>
      <w:r>
        <w:t>FR: TAF E-5522/2017 du 30 janvier 2018</w:t>
      </w:r>
    </w:p>
    <w:p>
      <w:r>
        <w:t>IT: TAF E-5522/2017 del 30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4.1.1</w:t>
      </w:r>
    </w:p>
    <w:p>
      <w:r>
        <w:t>Bezüglich des Bestehens einer begründeten Verfolgungsfurcht gilt es zu prüfen, ob die Verfolgungssituation im Zeitpunkt der Ausreise aktuell gewesen ist beziehungsweise ob ein zeitlicher und sachlicher Kausalzusammenhang zwischen der erlebten Vorverfolgung und der Ausreise bejaht werden kann.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(vgl. BVGE 2009/51 E.4.2.5 m.w.H.).</w:t>
      </w:r>
    </w:p>
    <w:p>
      <w:r>
        <w:rPr>
          <w:b/>
        </w:rPr>
        <w:t>E. 4.1.2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 Dabei ist zu berücksichtigen, dass Personen, welche bereits Verfolgungshandlungen ausgesetzt waren, objektive Gründe für eine ausgeprägtere subjektive Furcht vor weiterer Verfolgung haben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von Art. 3 AsylG an die flüchtlingsrechtliche Beachtlichkeit nicht genügend. Seine Entführung durch die Taliban würde weder in einem zeitlichen noch in einem sachlichen Kausalzusammenhang zu seiner Flucht stehen. Der Umstand, dass er von den Taliban hätte bestraft werden sollen, weil in seinem Dorf angenommen werde, dass er seine (...) geschwängert habe, sei ebenfalls nicht asylrelevant, da die Bestrafung nicht aufgrund einer der in Art. 3 AsylG aufgezählten Eigenschaften erfolgt wäre. Schliesslich würde die labile Sicherheitssituation in seiner Heimatregion nicht nur ihn persönlich betreffen, sondern die gesamte Bevölkerung, weshalb es sich nicht um eine gegen ihn persönlich gerichtete Verfolgung handle.</w:t>
      </w:r>
    </w:p>
    <w:p>
      <w:r>
        <w:rPr>
          <w:b/>
        </w:rPr>
        <w:t>E. 5.2</w:t>
      </w:r>
    </w:p>
    <w:p>
      <w:r>
        <w:t>Auf Beschwerdeebene konkretisiert der Beschwerdeführer verschiedene Punkte seiner Aussagen und führt aus, dass die Taliban Personen, die in ihrer Wahrnehmung gegen islamische Grundsätze und Werte verstossen hätten, bedroht, angegriffen und getötet hätten. In Gebieten, welche sich unter der Kontrolle der Taliban und anderer regierungsfeindlicher Kräfte befinden würden, bestehe für Personen, die unmoralischer Verhaltensweisen bezichtigt würden, das Risiko, über die parallelen Justizstrukturen dieser regierungsfeindlichen Kräfte zu harten Strafen, einschliesslich zur Auspeitschung und zum Tod verurteilt zu werden. Unter Verweis auf den Artikel von South Front führt der Beschwerdeführer weiter aus, die Hälfte der Bewohner seines Heimatdorfes seien Taliban und die Justizstrukturen würden von diesen kontrolliert. Nachdem er seinen Heimatort mit seiner schwangeren (...) verlassen habe, seien die Dorfbewohner, und damit auch die Taliban, davon ausgegangen, dass er unehelichen Geschlechtsverkehr mit ihr gehabt habe. Dies werde als Verbrechen gewertet und wiege umso schwerer, als seine (...) einem anderen Mann versprochen gewesen sei, welcher ebenfalls ein Taliban sei. Zudem habe er seiner (...), welche vor ein Scharia-Gericht hätte gestellt und gesteinigt werden sollen, zur Flucht verholfen. Dadurch habe er sie der Gerichtsbarkeit der Scharia entzogen, was ebenfalls ein Verbrechen darstelle. Er habe gegen die Gesetze der Scharia und damit gegen das religiöse Recht verstossen. Aus Sicht der Taliban habe er damit als Ungläubiger gehandelt. Er habe selbst miterleben müssen und habe ausführlich geschildert, wie als Ungläubige bezeichnete Personen enthauptet worden seien. Die Bezeichnung als Ungläubiger, welcher gegen die Scharia verstossen habe, würde ein Merkmal darstellen, welches untrennbar mit seiner Person verbunden sei und damit ein asylrelevantes Verfolgungsmotiv darstelle. Zudem habe er bereits früher, zum Zeitpunkt seiner Entführung durch die Taliban, deren Misstrauen erweckt. Durch seine Handlungen vor seiner Ausreise, habe er den Verdacht der Taliban, er sei ein Ungläubiger, bestätigt. Eine funktionierende Schutzinfrastruktur, welche ihn vor der Verfolgung durch die Taliban schützen könnte, bestehe nicht. Er habe begründete Furcht vor einer asylrelevanten Verfolgung durch die Taliban, weshalb er die Flüchtlingseigenschaft erfülle und ihm Asyl zu gewähren sei.</w:t>
      </w:r>
    </w:p>
    <w:p>
      <w:r>
        <w:rPr>
          <w:b/>
        </w:rPr>
        <w:t>E. 6.1</w:t>
      </w:r>
    </w:p>
    <w:p>
      <w:r>
        <w:t>Das 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https://www.bti-project.org/fileadmin/files/BTI/Downloads/Reports/2016/pdf/BTI_2016_Afghanistan.pdf , abgerufen am 16.01.2018; vgl. auch Urteil des BVGer D-3394/2014 vom 26. Oktober 2015). Bei der Beurteilung der Sicherheitslage lassen sich sodann Gruppen von Personen definieren, die aufgrund ihrer Exponiertheit einem erhöhten Verfolgungsrisiko ausgesetzt sind. Dazu gehören unter anderem Personen, welche die Regierung unterstützen oder als deren Unterstützer betrachtet werden, beispielsweise indem sie den Behörden Informationen zu den regierungsfeindlichen Gruppierungen liefern oder dessen verdächtigt werden, sowie westlich orientierte oder der afghanischen Gesellschaftsordnung aus anderen Gründen nicht entsprechende Personen (vgl. Urteile des BVGer E-3520/2014 vom 3. November 2015 E. 7.3; D-416/2015 vom25. August 2017 E. 6.4; Antonio Giustozzi für Landinfo: Afghanistan; Taliban's Intelligence and the intimidation campaign, 23.08.2017,&lt; https://landinfo.no/asset/3590/1/ 3590_1.pdf &gt;, abgerufen am 16.01.2018, S. 11).</w:t>
      </w:r>
    </w:p>
    <w:p>
      <w:r>
        <w:rPr>
          <w:b/>
        </w:rPr>
        <w:t>E. 6.2</w:t>
      </w:r>
    </w:p>
    <w:p>
      <w:r>
        <w:t>Die Vorinstanz stellt die Glaubhaftigkeit der Vorbringen des Beschwerdeführers nicht explizit in Frage. Diesem Standpunkt ist angesichts der im Wesentlichen widerspruchsfreien Schilderungen und der vielen Realkennzeichen in seiner Darlegung (vgl. vorinstanzliche Akten A20 beispielsweise F81, F96 ff. und F121 ff.) beizupflichten. Auch kann der Vorinstanz zugestimmt werden, dass der zeitliche Kausalzusammenhang zwischen der Entführung durch die Taliban und der Flucht des Beschwerdeführers als unterbrochen anzusehen ist. Dies hat jedoch lediglich zur Folge, dass die Vermutung einer flüchtlingsrechtlich relevanten Verfolgung aufgehoben wird, der Nachweis oder zumindest die Glaubhaftmachung einer begründeten Furcht vor zukünftiger Verfolgung steht dem Beschwerdeführer jedoch offen. In Übereinstimmung mit seinen Vorbringen ist festzuhalten, dass Personen, welche "unmoralischer Verhaltensweisen" bezichtigt werden, über die parallelen Justizstrukturen regierungsfeindlicher Kräfte in Afghanistan zu harten Strafen, einschliesslich zum Tod "verurteilt" werden können. In diesem Zusammenhang sind Verstösse gegen die Scharia beziehungsweise deren Auslegung durch die Taliban, beispielsweise durch Blasphemie, Apostasie, Führen einer gleichgeschlechtlichen Beziehung oder ausserehelichen Geschlechtsverkehr zu nennen (vgl. etwa SFH, Afghanistan: Update, Die aktuelle Sicherheitslage, Bern, 14. September 2017, S. 19 ff.; UNHCR Eligibility Guidelines for Assessing the International Protection Needs of Asylum-Seekers from Afghanistan, 19. April 2016, S. 34 ff.; Antonio Giustozzi, a.a.O., S. 11; European Asylum Support Office [EASO], EASO Country of Origin Information Report. Afghanistan Individuals targeted under societal and legal norms, December 2017, http://www.refworld.org/docid/5a38ce314.html , abgerufen am 16.01.2018, S. 48 ff.). Es liegen Berichte vor, wonach Personen, die sich "unmoralischer Verhaltensweisen", wie ausserehelichen Geschlechtsverkehrs, schuldig gemacht haben sollen, von regierungsfeindlichen Gruppierungen, wie den Taliban, ausgepeitscht oder (durch Steinigung) getötet wurden (vgl. EASO, a.a.O., S. 48 ff.). Gemäss dem vorgenannten Bericht der EASO soll es insbesondere auch in der Heimatprovinz des Beschwerdeführers zu Tötungen und Steinigungen von Personen (Männern und Frauen), die des Ehebruchs beschuldigt wurden, durch die Taliban gekommen sein (vgl. EASO, a.a.O., S. 49 f.). Der Beschwerdeführer entspricht den vorgenannten Risikoprofilen und es ist von einem hohen Risiko der Verfolgung durch die Taliban auszugehen. Er hat nicht nur seiner unehelich schwangeren (...), welche zudem einem Taliban versprochen war, zur Flucht verholfen und sie damit einer Bestrafung durch die Taliban entzogen, sondern er wird auch verdächtigt, mit ihr ausserehelichen Geschlechtsverkehr gehabt zu haben. Damit hat er sich in den Augen der Taliban eines unmoralischen Verhaltens schuldig gemacht und in schwerer Weise gegen deren (religiöse) Grundsätze verstossen. Zudem hatte er bereits früher deren Aufmerksamkeit auf sich gezogen, da er verdächtigt wurde, Informationen an die afghanischen Behörden, in der Person von D._______, weiterzugeben (was im Übrigen den Tatsachen entsprach). Dies hatte die Entführung durch die Taliban und die Bezeichnung als "Ungläubiger" zur Folge. Angesichts dessen, dass er bereits einmal einer Verfolgung durch die Taliban ausgesetzt war, im Rahmen derer er schwere Misshandlungen durchleben musste sowie Zeuge von Enthauptungen von "Ungläubigen" wurde, und in der Folge mehrfach gegen die (religiösen) Grundsätze der Taliban verstossen hat (bzw. des Verstosses verdächtigt wird), bestand sowohl in objektiver als auch in subjektiver Hinsicht konkreter Anlass zur Annahme, dass eine Verfolgung sich mit beachtlicher Wahrscheinlichkeit und in absehbarer Zeit erneut verwirklicht hätte. Solches wäre, auch vor dem Hintergrund der verschlechterten Sicherheitslage in Afghanistan, im heutigen Zeitpunkt ebenfalls anzunehmen, wenn der Beschwerdeführer in seine Heimat zurückkehren würde.</w:t>
      </w:r>
    </w:p>
    <w:p>
      <w:r>
        <w:rPr>
          <w:b/>
        </w:rPr>
        <w:t>E. 6.3</w:t>
      </w:r>
    </w:p>
    <w:p>
      <w:r>
        <w:t>Es bleibt zu prüfen, ob für den Beschwerdeführer eine innerstaatliche Flucht- beziehungsweise Schutzalternative bestanden hätte.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Die genannten Voraussetzungen sind vorliegend nicht erfüllt. Weder die Städte Kabul, Herat noch Mazar-i-Sharif kommen als potenzielle Schutzalternativen in Frage, da mangels persönlicher Bezugspunkte des Beschwerdeführers zu diesen Städten die von der Rechtsprechung verlangten, besonders begünstigenden Umstände nicht gegeben sind (vgl. BVGE 2011/38 E. 4.3 zu Herat, BVGE 2011/49 E.7.3 zu Mazar-i-Sharif undUrteil des BVGer D-5800/2016 vom 13. Oktober 2017 zu Kabul).</w:t>
      </w:r>
    </w:p>
    <w:p>
      <w:r>
        <w:rPr>
          <w:b/>
        </w:rPr>
        <w:t>E. 6.4</w:t>
      </w:r>
    </w:p>
    <w:p>
      <w:r>
        <w:t>Zusammenfassend erfüllt der Beschwerdeführer die Flüchtlingseigenschaft im Sinne von Art. 3 AsylG. Gründe für den Ausschluss aus der Flüchtlingseigenschaft gemäss Art. 1 Bst. F FK sind nicht ersichtlich. Die Beschwerde ist daher gutzuheissen und die Verfügung der Vorinstanz ist aufzuheben. Das SEM ist anzuweisen, den Beschwerdeführer als Flüchtling anzuerkennen und ihm - mangels Vorliegens von Asylausschlussgründen (vgl. Art. 53 AsylG) - in der Schweiz Asyl zu gewähren.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Entschädigung des als amtlicher Rechtsbeistand eingesetzten Rechtsvertreters durch das Bundesverwaltungsgericht entfällt somit. Der Rechtsvertreter reichte mit der Beschwerde eine Honorarnote in der Höhe von Fr. 1'190.- ein. Der veranschlagte Stundensatz von Fr. 200.- (inklusive Mehrwertsteuer) bewegt sich im gemäss Art. 10 Abs. 2 VGKE vorgesehenen Rahmen und der Zeitaufwand von 5.5 Stunden und zusätzlichen Auslagen in der Höhe von Fr. 90.- (Übersetzerin, Porti, Telefon, Fax, Kopien) erscheint angemessen. Die Parteientschädigung ist demnach in dieser Höhe festzusetzen und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