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E-551/2025 vom 23. Dezember 2024</w:t>
      </w:r>
    </w:p>
    <w:p>
      <w:r>
        <w:t>Bundesverwaltungsgericht, 2024-12-23, DE</w:t>
      </w:r>
    </w:p>
    <w:p>
      <w:r>
        <w:rPr>
          <w:b/>
        </w:rPr>
        <w:t xml:space="preserve">Quelle: </w:t>
      </w:r>
      <w:r>
        <w:t>https://mcp.opencaselaw.ch/entscheid/bvger_E-551_2025_d20241223</w:t>
      </w:r>
    </w:p>
    <w:p>
      <w:r>
        <w:t>FR: TAF E-551/2025 du 23 décembre 2024</w:t>
      </w:r>
    </w:p>
    <w:p>
      <w:r>
        <w:t>IT: TAF E-551/2025 del 23 dicembre 2024</w:t>
      </w:r>
    </w:p>
    <w:p>
      <w:pPr>
        <w:pStyle w:val="Heading2"/>
      </w:pPr>
      <w:r>
        <w:t>Regeste</w:t>
      </w:r>
    </w:p>
    <w:p>
      <w:r>
        <w:t>Asyl und Wegweisung | Asyl und Wegweisung; Verfügung des SEM vom 23. Dezember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t>E-551/2025 Seite 5</w:t>
      </w:r>
    </w:p>
    <w:p>
      <w:r>
        <w:rPr>
          <w:b/>
        </w:rPr>
        <w:t>E. 1.4</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die ablehnende Verfügung mit der fehlenden Asyl- relevanz der Vorbringen. Die vom Beschwerdeführer geltend gemachte und anlässlich einer Razzia vor acht Jahren erfolgte Zerstörung seines Fa- milienwohnsitzes sei nicht mehr aktuell. Ferner handle es sich bei der im Rahmen der Blutfehde ihm gegenüber erfolgten Verfolgung mit einem Mes- ser, die im Übrigen mindestens fünf Jahre zurückliege, um eine Verfolgung durch Drittpersonen. Seither hätten sich keine weiteren Vorfälle ereignet. Ausserdem müsse sich der Beschwerdeführer zunächst bei den heimatli- chen Behörden um Schutz bemühen. Dass der türkische Staat gewillt sei,</w:t>
      </w:r>
    </w:p>
    <w:p>
      <w:r>
        <w:t>E-551/2025 Seite 6 bei Straftaten aufgrund von Blutfehden zu ermitteln und die Täter zu be- strafen, gehe aus den eingereichten und seine beiden Onkel betreffenden Justizdokumenten hervor. Aus keinem der von ihm eingereichten Verfah- rensdokumente ergebe sich sodann, dass ihm die Unterstützung der PKK vorgeworfen werde. Vielmehr würden die gegen ihn beim Strafgericht für leichte Straftaten eingeleiteten Verfahren den Vorwurf betreffen, Waren un- verzollt eingeführt zu haben. Aus der Anklageschrift ergebe sich, dass ihm neben den Schmuggelaktivitäten auch die Verletzung des Markenrechts (Einfuhr von gefälschten Rolex-Uhren) vorgeworfen werde. Das Vorbrin- gen, dass die Zollbeamten die gefundenen Waren als Hilfsgüter für die PKK ausgelegt und den Beschwerdeführer zum entsprechenden Geständnis gezwungen hätten, sei nicht plausibel. Zwar bezeichne sich der Beschwer- deführer sodann als Sympathisant der PKK, er habe aber explizit erklärt, nie direkten Kontakt zur PKK gehabt zu haben. Ferner könne ausgeschlos- sen werden, dass er wegen seiner Cousine oder seines Cousins, welche die PKK unterstützt hätten und bereits vor mehreren Jahren ums Leben gekommen seien, zukünftig mit schwerwiegenden Nachteilen zu rechnen habe. Nachteile aufgrund der Mitgliedschaft von Familienangehörigen bei der HDP habe er nicht geltend gemacht. Ebenfalls könne ausgeschlossen werden, dass er durch seine blosse Teilnahme an kurdischen Demonstra- tionen in der Schweiz in den Fokus der türkischen Behörden geraten sei. Aus der Einladung zur Vernehmung betreffend das fehlbare Verhalten des Onkels ergebe sich ebenfalls kein asylrelevanter Sachverhalt, zumal der Beschwerdeführer in seiner ergänzenden Anhörung vorgetragen habe, dass das Dossier nichts mit ihm zu tun habe und ihm nichts vorgeworfen werde. Die geltend gemachte Teilnahme an Demonstrationen in der Schweiz seien nicht belegt und aus den Aussagen lasse sich nicht entneh- men, dass der Beschwerdeführer eine tragende Rolle innegehabt habe.</w:t>
      </w:r>
    </w:p>
    <w:p>
      <w:r>
        <w:rPr>
          <w:b/>
        </w:rPr>
        <w:t>E. 4.2</w:t>
      </w:r>
    </w:p>
    <w:p>
      <w:r>
        <w:t>Dagegen bringt der Beschwerdeführer in seiner Rechtsschrift vor, seine Vorbringen seien glaubhaft und asylrelevant. Gemäss Schweizer Asylpraxis und der geltenden Schutztheorie sei auch eine nichtstaatliche Verfolgung flüchtlingsrechtlich relevant. Bei einer Blutfehde spiele selbst eine vorhandene staatliche Schutzfähigkeit und ein Schutzwille keine Rolle. Vielmehr würden die betroffenen Familien die Blutfehde immer fort- setzen. Lediglich eine erfolgreiche Vermittlung von bekannten Persönlich- keiten könne die Blutrache beenden. Deswegen, aber auch weil der Be- schwerdeführer verdächtigt werde, die PKK zu unterstützen, sei ihm in der Schweiz Schutz zu gewähren. Zudem wiederholt der Beschwerdeführer, dass in seinem (…) ohne sein Wissen zwischen der Ladung Ausrüstungs- güter der irakischen Armee versteckt worden seien, später alles auf ihn</w:t>
      </w:r>
    </w:p>
    <w:p>
      <w:r>
        <w:t>E-551/2025 Seite 7 abgeschoben und gegen ihn ein Dossier wegen Unterstützung der PKK eröffnet worden sei; dies, da in der Türkei ein Rechtssystem fehle. Unter Zwang habe er ein Protokoll unterschreiben müssen und er habe sich einer Festnahme beziehungsweise einer Verhaftung nur durch eine rasche Aus- reise aus der Türkei entziehen können. Er vermute, dass ein Datenblatt über ihn angelegt worden sei, da er das Protokoll habe unterzeichnen müs- sen. Eine solche Fiche werde nie mehr gelöscht und er stehe im Visier der türkischen Behörden. Hinzu komme, dass er den türkischen Behörden nicht nur seit langem wegen seiner politischen Aktivitäten bekannt sei, son- dern auch wegen der politischen Vergangenheit beziehungsweise der Ak- tivitäten seines verwandtschaftlichen Umfelds. Es liege somit auch die Ge- fahr einer Reflexverfolgung vor und er sei auch deshalb Repressionen aus- gesetzt.</w:t>
      </w:r>
    </w:p>
    <w:p>
      <w:r>
        <w:rPr>
          <w:b/>
        </w:rPr>
        <w:t>E. 5.1</w:t>
      </w:r>
    </w:p>
    <w:p>
      <w:r>
        <w:t>Nach Prüfung der Akten ist in Übereinstimmung mit dem SEM festzu- stellen, dass die Asylvorbringen des Beschwerdeführers den Anforderun- gen an die Flüchtlingseigenschaft gemäss Art. 3 AsylG nicht genügen. Auf die diesbezüglichen Ausführungen in der angefochtenen Verfügung kann vorab vollumfänglich verwiesen werden. Die Ausführungen auf Beschwer- deebene führen insgesamt zu keiner anderen Betrachtungsweise. Bezug- nehmend auf die Beschwerdeausführungen sei lediglich Nachfolgendes festzuhalten:</w:t>
      </w:r>
    </w:p>
    <w:p>
      <w:r>
        <w:rPr>
          <w:b/>
        </w:rPr>
        <w:t>E. 5.2</w:t>
      </w:r>
    </w:p>
    <w:p>
      <w:r>
        <w:t>Aufgrund der Subsidiarität des flüchtlingsrechtlichen Schutzes setzt die Anerkennung der Flüchtlingseigenschaft voraus, dass die betroffene Per- son in ihrem Heimatland keinen ausreichenden Schutz vor nichtstaatlicher Verfolgung finden kann. Zutreffend ist, dass gestützt auf den in der Schweizer Asylpraxis erfolgten Wechsel von der Zurechenbarkeitstheorie zur Schutztheorie nicht nur eine unmittelbare oder mittelbare staatliche, sondern auch eine private (bzw. nichtstaatliche) Verfolgung flüchtlingsrechtlich relevant ist, sofern im Hei- matstaat kein adäquater Schutz vor Verfolgung besteht (vgl. BVGE 2011/51 E. 7.1). Als ausreichend gilt der Schutz immer dann, wenn die be- troffene Person effektiven Zugang zu einer funktionierenden und effizien- ten Schutzinfrastruktur hat und ihr die Inanspruchnahme eines solchen in- nerstaatlichen Schutzsystems individuell zumutbar ist (vgl. ebd. E. 7.3). Von der Möglichkeit, im Falle eines erneuten Aufflammens der Blutfehde innerstaatlichen Schutz in Anspruch zu nehmen, ist vorliegend auszuge- hen. Der Einwand des Beschwerdeführers, der türkische Staat könne ihn</w:t>
      </w:r>
    </w:p>
    <w:p>
      <w:r>
        <w:t>E-551/2025 Seite 8 nicht immer schützen, vermag an dieser Einschätzung nichts zu ändern, da eine faktische Garantie des Schutzgewährenden für langfristigen indivi- duellen Schutz der von nichtstaatlicher Verfolgung bedrohten Person nicht zu verlangen ist, zumal es keinem Staat gelingt es, die absolute Sicherheit aller seiner Bürger jederzeit und überall zu garantieren (vgl. BVGE 2008/4 E. 5.2).</w:t>
      </w:r>
    </w:p>
    <w:p>
      <w:r>
        <w:rPr>
          <w:b/>
        </w:rPr>
        <w:t>E. 5.3</w:t>
      </w:r>
    </w:p>
    <w:p>
      <w:r>
        <w:t>Das Bundesverwaltungsgericht teilt ferner die Einschätzung des SEM, wonach aus keinem der vom Beschwerdeführer eingereichten Verfahrens- dokumenten hervorgeht, er stehe unter dem Verdacht, die PKK zu unter- stützen. Vielmehr geht aus dem eingereichten Vorführbeschluss sowie dem Vorführbefehl, beide datierend vom (…) 2022 hervor, dass, ihm vor- geworfen wird, Waren unverzollt in die Türkei eingeführt zu haben. Laut der Anklageschrift vom (…) 2023 wird er beschuldigt, neben Schmuggelaktivi- täten auch das Markenrecht verletzt zu haben, da er 20 gefälschte Rolex- Uhren vom Irak in die Türkei eingeführt habe (vgl. Beweismittel ID-019, ID- 033 und ID-040). Zudem geht das Gericht in Übereinstimmung mit dem SEM davon aus, dass das vom Beschwerdeführer geschilderte Vorgehen der Zollbeamten (die in seinem Lastwagen gefundenen Güter als verbo- tene Güter für die PKK zu taxieren und ihn zu nötigen, diese Vorwürfe zu akzeptieren und ein entsprechendes Dokument zu unterschreiben) ebenso wenig plausibel erscheint wie das Vorbringen, dieses Dokument sei im Dossier absichtlich nicht aufgeführt worden, soll dieses Dokument doch der Grund für die Eröffnung des Dossiers beziehungsweise des Verfahrens ge- wesen sein. Des Weiteren ist kaum davon auszugehen, dass die türki- schen Behörden ein Verfahren wegen Warenschmuggels und Verletzung von Markenrechten eröffnen würden, wenn sie tatsächlich im Besitz einer schriftlichen Bestätigung des Beschwerdeführers wären, wonach er Waren zur Unterstützung der PKK transportiert hat. Auch handelt es sich bei der Annahme des Beschwerdeführers, wonach wegen dieser Bestätigung ein Datenblatt über ihn angelegt worden sei, um eine reine Mutmassung. Hinzu kommt, dass aus dem eingereichten UYAP-Auszug insgesamt drei Ge- richtsverfahren hervorgehen, die alle vor dem Gericht für leichte Straftaten in E._______ hängig sind, weshalb keinem Verfahren der Vorwurf der Un- terstützung der PKK zu Grunde liegen kann.</w:t>
      </w:r>
    </w:p>
    <w:p>
      <w:r>
        <w:rPr>
          <w:b/>
        </w:rPr>
        <w:t>E. 5.4</w:t>
      </w:r>
    </w:p>
    <w:p>
      <w:r>
        <w:t>Unbestritten ist ferner, dass der Beschwerdeführer und seine beiden Cousins gemeinsam legal und mit authentischen Reisedokumenten aus der Türkei ausreisen konnten. Die legale Ausreise spricht klar gegen das geltend gemachte Verfolgungsinteresse der türkischen Behörden. Die bei- den Cousins des Beschwerdeführers sind sodann nach der rechtskräftigen</w:t>
      </w:r>
    </w:p>
    <w:p>
      <w:r>
        <w:t>E-551/2025 Seite 9 Ablehnung ihrer Asylgesuche hier in der Schweiz freiwillig in die Türkei zu- rückgekehrt. Weder sein erneutes Vorbringen in der Beschwerde, wonach gegen ihn ein Strafverfahren wegen Unterstützung der PKK eröffnet werde, noch sein familiärer Hintergrund können zu einer anderen Einschätzung führen. Sein Einwand, wonach das SEM letzteren zu wenig berücksichtigt habe, ist zudem unbegründet, da sich das SEM in der angefochtenen Ver- fügung explizit mit dem von ihm geschilderten politischen Engagement sei- ner Familie auseinandergesetzt hat (vgl. ebd. Abschnitt II Ziff. 5).</w:t>
      </w:r>
    </w:p>
    <w:p>
      <w:r>
        <w:rPr>
          <w:b/>
        </w:rPr>
        <w:t>E. 5.5</w:t>
      </w:r>
    </w:p>
    <w:p>
      <w:r>
        <w:t>In Übereinstimmung mit dem SEM geht das Bundesverwaltungsgericht auch davon aus, dass der Beschwerdeführer keine tragende Rolle bei der Organisation oder Durchführung von kurdischen Demonstrationen in der Schweiz spielt, zumal in der Beschwerde keinerlei Einwände erhoben wer- den.</w:t>
      </w:r>
    </w:p>
    <w:p>
      <w:r>
        <w:rPr>
          <w:b/>
        </w:rPr>
        <w:t>E. 5.6</w:t>
      </w:r>
    </w:p>
    <w:p>
      <w:r>
        <w:t>Nach dem Gesagten hat das SEM zu Recht festgestellt, der Beschwer- deführer erfülle die Flüchtlingseigenschaft nicht, und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E-551/2025 Seite 10</w:t>
      </w:r>
    </w:p>
    <w:p>
      <w:r>
        <w:rPr>
          <w:b/>
        </w:rPr>
        <w:t>E. 7.2.1</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 Sodann ergeben sich weder aus seinen Aus- sagen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in der Türkei, die durchaus teilweise als schwierig zu bezeichnen ist, lässt den Wegweisungsvollzug zum heutigen Zeitpunkt nicht als unzulässig erscheinen.</w:t>
      </w:r>
    </w:p>
    <w:p>
      <w:r>
        <w:rPr>
          <w:b/>
        </w:rPr>
        <w:t>E. 7.2.2</w:t>
      </w:r>
    </w:p>
    <w:p>
      <w:r>
        <w:t>Der Vollzug der Wegweisung erweist sich sowohl im Sinne der asyl- als auch der völkerrechtlichen Bestimmungen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SEM führte zur Begründung der Zumutbarkeit des Wegwei- sungsvollzugs aus, es herrsche in der Türkei aktuell keine landesweite Si- tuation allgemeiner Gewalt im Sinne von Art. 83 Abs. 4 AIG, die einen Weg- weisungsvollzug in die Türkei als generell unzumutbar erscheinen lasse. Der Beschwerdeführer stamme aus der Provinz Sirnak. Infolge des Wie- deraufflammens des türkisch-kurdischen Konfliktes sei es im Juli 2015 zwar zu einer deutlichen Zunahme gewaltsamer Auseinandersetzungen zwischen der PKK und staatlichen Sicherheitskräften in verschiedenen im</w:t>
      </w:r>
    </w:p>
    <w:p>
      <w:r>
        <w:t>E-551/2025 Seite 11 Südosten des Landes gelegenen Provinzen gekommen. Die schweizeri- schen Asylbehörden erachteten die Lage in diesen Provinzen jedoch nicht als eine flächendeckende Situation allgemeiner Gewalt, die einen Wegwei- sungsvollzug in diese Provinzen als generell unzumutbar erscheinen las- sen würde. Auch hätten diese gewaltsamen Zwischenfälle seither kontinu- ierlich und deutlich abgenommen. Dies treffe auch auf die beiden südöstli- chen Grenzprovinzen zum Irak, Sirnak und Hakkari, zu. Angesichts der ak- tuellen Sicherheitslage sei der Wegweisungsvollzug in diese beiden Pro- vinzen ebenfalls nicht als generell unzumutbar zu erachten. Die Zumutbar- keit des Wegweisungsvollzugs sei daher in jedem Einzelfall individuell zu prüfen. Der Beschwerdeführer sei jung, gesund, habe das (…) abgeschlossen und den Beruf des (…) erlernt. Bereits während seiner Schulzeit habe er einmal in den Sommerferien ein paar Monate in einer (…)firma gearbeitet. Von (…) bis zehn Tage vor seiner Ausreise habe er als (…) gearbeitet. Seine Eltern, seine Geschwister und praktisch alle seine Verwandten würden in der Provinz Sirnak leben. Er verfüge dort somit über ein tragfähiges famili- äres Beziehungsnetz, das ihn bei einer Rückkehr unterstützen könne. Demzufolge sei ein Wegweisungsvollzug auch unter diesen individuellen Aspekten als zumutbar zu erachten. Im Lichte der in der Türkei bestehen- den Niederlassungsfreiheit könne im Übrigen auch das Bestehen einer in- dividuell zumutbaren innerstaatlichen Aufenthaltsalternative ausserhalb dieser Provinz bejaht werden. So habe er im Sommer 2019 während seiner Sommerferien in F._______ für eine (…)firma gearbeitet und sich in dieser Zeit bei seinen Cousins B._______, C._______ und G._______ aufgehal- ten, die damals alle in F._______ gearbeitet hätten. Sein Cousin G._______ lebe noch immer in F._______. Laut seinen Angaben sei der Beschwerdeführer damals bei dieser (…)firma aufgrund seiner Ethnie dis- kriminiert worden und habe zu wenig Lohn erhalten. Aus einer schlechten Erfahrung könne jedoch nicht geschlossen werden, dass er nicht in F._______ leben könne. Dass sein Cousin G._______, bei dem es sich ebenfalls um einen Kurden handeln dürfte, auch heute noch in F._______ lebe, zeige auf, dass eine Wohnsitznahme dort durchaus möglich und zu- mutbar sei. Mit ihm verfüge er auch über eine Bezugsperson, die ihn in einer Anfangsphase unterstützen könne.</w:t>
      </w:r>
    </w:p>
    <w:p>
      <w:r>
        <w:rPr>
          <w:b/>
        </w:rPr>
        <w:t>E. 7.3.3</w:t>
      </w:r>
    </w:p>
    <w:p>
      <w:r>
        <w:t>Diese Erwägungen erweisen sich allesamt als zutreffend, zumal ihnen auf Beschwerdeebene nichts Wesentliches entgegengehalten wird. Der in der Beschwerde erhobene Einwand, wonach die Vorinstanz die Pra- xis des Bundesverwaltungsgerichts zur allgemeinen Lage in den Provinzen</w:t>
      </w:r>
    </w:p>
    <w:p>
      <w:r>
        <w:t>E-551/2025 Seite 12 Sirnak und Hakkari nicht berücksichtigt habe, erweist sich als unzutreffend. Vielmehr geht aus der aktuellen Rechtsprechung des Gerichts hervor, dass in der Türkei auf dem ganzen Staatsgebiet nicht von einer Situation allge- meiner Gewalt oder bürgerkriegsähnlichen Verhältnissen auszugehen ist, auch nicht für Angehörige der kurdischen Ethnie aus der besagten Provinz (vgl. Referenzurteil des BVGer E-4103/2024 vom 8. November 2024 E. 13.2 und 13.4 m.w.H.).</w:t>
      </w:r>
    </w:p>
    <w:p>
      <w:r>
        <w:rPr>
          <w:b/>
        </w:rPr>
        <w:t>E. 7.3.4</w:t>
      </w:r>
    </w:p>
    <w:p>
      <w:r>
        <w:t>Demnach erweist sich der Vollzug der Wegweisung auch als zumut- 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geleistete Kostenvorschuss ist zur Bezahlung der Verfah- renskosten zu verwenden.</w:t>
      </w:r>
    </w:p>
    <w:p>
      <w:r>
        <w:t>(Dispositiv nächste Seite)</w:t>
      </w:r>
    </w:p>
    <w:p>
      <w:r>
        <w:t>E-551/2025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