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E-5519/2006 vom 25. November 2009</w:t>
      </w:r>
    </w:p>
    <w:p>
      <w:r>
        <w:t>Bundesverwaltungsgericht, 2009-11-25, DE</w:t>
      </w:r>
    </w:p>
    <w:p>
      <w:r>
        <w:rPr>
          <w:b/>
        </w:rPr>
        <w:t xml:space="preserve">Quelle: </w:t>
      </w:r>
      <w:r>
        <w:t>https://mcp.opencaselaw.ch/entscheid/bvger_E-5519_2006</w:t>
      </w:r>
    </w:p>
    <w:p>
      <w:r>
        <w:t>FR: TAF E-5519/2006 du 25 novembre 2009</w:t>
      </w:r>
    </w:p>
    <w:p>
      <w:r>
        <w:t>IT: TAF E-5519/2006 del 25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Die Beschwerde ist form- und fristgerecht eingereicht. Der Beschwerdeführer hat am Verfahren vor der Vorinstanz teilgenommen, ist durch die angefochtene Verfügung berührt, hat ein schutzwürdiges Interesse an deren Aufhebung beziehungsweise Änderung und ist daher zur Einreichung der Beschwerde legitimiert (Art. 105 AsylG i.V.m. Art. 37 VGG und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die Ziffern 3 bis 5 des Dispositivs der angefochtenen Verfügung des BFM. Die Ziffern 1 und 2 des Dispositivs der Verfügung (betreffend Flüchtlingseigenschaft und Asylgewährung) sind somit in Rechtskraft erwachsen. Im Folgenden ist daher einzig zu prüfen, ob die Vorinstanz die Wegweisung und den Vollzug der Wegweisung zu Recht angeordnet hat.</w:t>
      </w:r>
    </w:p>
    <w:p>
      <w:r>
        <w:rPr>
          <w:b/>
        </w:rPr>
        <w:t>E. 4</w:t>
      </w:r>
    </w:p>
    <w:p>
      <w:r>
        <w:t>Lehnt das Bundesamt das Asylgesuch ab oder tritt es darauf nicht ein, so verfügt es in der Regel die Wegweisung aus der Schweiz und ordnet den Vollzug an; dabei ist der Grundsatz der Einheit der Familie zu berücksichtigen. Der Beschwerdeführer verfügt weder über eine fremdenpolizeiliche Aufenthaltsbewilligung noch einen Anspruch auf Erteilung einer solchen. Die Wegweisung wurde demnach zu Recht angeordnet (Art. 44 Abs. 1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(EMARK 2006 Nr. 6).</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w:t>
      </w:r>
    </w:p>
    <w:p>
      <w:r>
        <w:t>Die ARK setzte sich in EMARK 2003 Nr. 10 einlässlich mit der aktuellen Lage in Afghanistan, insbesondere in der Hauptstadt Kabul, auseinander und umschrieb in EMARK 2003 Nr. 30 die Voraussetzungen für einen Wegweisungsvollzug nach Afghanistan. Infolge der da-mals vergleichsweise etwas günstigeren Situation erachtete die ARK den Wegweisungsvollzug nach Kabul unter bestimmten strengen Vor-aussetzungen, insbesondere einem tragfähigen Beziehungsnetz und einer gesicherten Wohnsituation, als zumutbar. In EMARK 2006 Nr. 9 bestätigte und ergänzte sie ihre Rechtssprechung aus dem Jahr 2003. Zusätzlich zu Kabul erachtete die ARK den Wegweisungsvollzug in je-ne Regionen Afghanistans (die Provinzen Parwan, Baghlan, Takhar, Badakhshan, Kunduz, Balkh, Sari Pul, Herat und ein Teil der Gegend von Samangan, die nicht zum Hazarajat zu zählen ist), in welchen seit 2004 keine signifikanten militärischen Aktivitäten stattfanden oder die keiner dauernden Unsicherheit ausgesetzt waren, unter Beachtung der in EMARK 2003 Nr. 10 festgehaltenen strengen Bedingungen als grundsätzlich zumutbar. In den "übrigen" östlichen, südlichen und südöstlichen Provinzen bestehe hingegen weiterhin eine allgemeine Gewaltsituation, weshalb der Wegweisungsvollzug dorthin als unzu-mutbar zu betrachten sei (vgl. EMARK 2006 Nr. 9 E. 7.5.3 und 7.8). Das Bundesverwaltungsgericht sieht in Berücksichtigung der jüngsten Entwicklung in Afghanistan (vgl. etwa die Urteile des Bundesverwaltungsgerichtes D-4664/2006 vom 17. Juli 2009 und D-4270/2006 vom 25. Juni 2009) keine Veranlassung, von dieser in Bezug auf die er-wähnten "übrigen" Provinzen Lageeinschätzung abzuweichen.</w:t>
      </w:r>
    </w:p>
    <w:p>
      <w:r>
        <w:rPr>
          <w:b/>
        </w:rPr>
        <w:t>E. 6.2.1</w:t>
      </w:r>
    </w:p>
    <w:p>
      <w:r>
        <w:t>Der geltend gemachte Sachverhalt ist nur insoweit auf seine Glaubhaftigkeit zu überprüfen, als er im Hinblick auf den angefochtenen Wegweisungsvollzug bedeutsam ist. Von Bedeutung sind im vorliegenden Verfahren insbesondere die Angaben des Beschwerdeführers zu seiner Herkunft, zu seinem familiären und verwandtschaftlichen Beziehungsnetz in Afghanistan und zur Flucht. In dieser Hinsicht gilt seitens der Vorinstanz als unbestritten, dass es sich beim Beschwerdeführer um einen afghanischen Staatsbürger handelt, der ethnisch ein Hazara ist (vgl. angefochtene Verfügung, Sachverhalt, interner Vermerk auf BFM Akte A5/1). Ob der mittlerweile volljährige Beschwerdeführer tatsächlich aus dem Dorf (...) (Distrikt [...], Provinz [...]; Faxbestätigung) oder aus (...) (Distrikt [...], Provinz [...]; Protokollaussage) stammt, kann bei der Beantwortung der Frage der Zumutbarkeit eines Wegweisungsvollzugs letzten Endes offenbleiben, da beide Orte Dörfer oder Weiler sind, die nur wenige Kilometer in derselben Provinz auseinander liegen. Ausserdem ist aufgrund der schwierigen Topographie jenes Gebietes nicht auszuschliessen, dass (...) bedeutender ist als das benachbarte Dorf. So ist etwa Afghan Health &amp; Development Services (AHDS) lediglich in (...) stationiert. Dies könnte eine Erklärung dafür sein, warum im eingereichten Faxschreiben (...) nicht der heimatliche Weiler, sondern (...) angeführt ist. Weiter ist der Hinweis des Rechtsvertreters auf die Klärung des umstrittenen Provinznamens im Schreiben vom 5. November 2009 und die Kenntnisse des Beschwerdeführers von einzelnen Orten der Heimatprovinz überzeugend ausgefallen. Somit dürfte trotz gewisser Widersprüche in den Angaben des Beschwerdeführers feststehen, dass er zu den Hazara gehört und aus der Provinz (...) stammt. Diese Provinz befindet sich nach dem Gesagten nicht in einer der in EMARK 2006 Nr. 9 abschliessend auf-geführten Provinzen, in welche der Wegweisungsvollzug unter stren-gen Bedingungen gerade noch als zumutbar erachtet wird. Der Weg-weisungsvollzug des Beschwerdeführers in sein Herkunftsgebiet muss demnach als unzumutbar qualifiziert werden, und dies unbesehen der Frage, ob dort noch ein Teil seiner Verwandtschaft lebt oder das Haus der Familie noch steht.</w:t>
      </w:r>
    </w:p>
    <w:p>
      <w:r>
        <w:rPr>
          <w:b/>
        </w:rPr>
        <w:t>E. 6.2.2</w:t>
      </w:r>
    </w:p>
    <w:p>
      <w:r>
        <w:t>Es stellt sich die Frage, ob dem Beschwerdeführer eine Aufent-haltsalternative in einem anderen Landesteil Afghanistans zur Verfü-gung steht. Die Bejahung einer zumutbaren innerstaatlichen Aufent-haltsalternative in Kabul oder in einer anderen Provinz, in der die all-gemeine Situation eine Rückkehr unter bestimmten Umständen als zumutbar erscheinen liesse (vgl. EMARK 2006 Nr. 9), setzt insbesondere die Existenz eines tragfähigen Beziehungsnetzes sowie eine ge-sicherte Wohnsituation voraus. Vorliegend ist nicht davon auszugehen, dass der Beschwerdeführer in Kabul oder in einer der in EMARK 2006 Nr. 9 aufgelisteten Provinzen über eine gesicherte Wohnsituation und ein tragfähiges Beziehungs-netz verfügt. Die Voraussetzungen sind nicht erfüllt, zumal sich zum einen aus den Akten keinerlei erhebliche Bezugspunkte des Be-schwerdeführers zu einer anderen Provinz, in der die allgemeine Situation eine Rückkehr unter bestimmten Umständen als zumutbar erscheinen liesse, ergeben. Zum anderen erweist sich die Argumen-tation des BFM, der Beschwerdeführer widerspreche sich und verfüge deshalb wahrscheinlich in Afghanistan über ein funktionierendes Be-ziehungsnetz respektive über eine zumutbare Aufenthaltsalternative, als nicht überzeugend. Unbesehen der in der angefochtenen Verfü-gung aufgelisteten Ungereimtheiten verfügt er nicht über ein tragfähi-ges Beziehungsnetz in einer Provinz, wo die Situation besser als im Hazarajat ist; insbesondere bei der aktuellen Situation in Afghanistan darf nicht mit Mutmassungen argumentiert werden. In diesem Kontext ist auch daran zu erinnern, dass der Beschwerdeführer eigenen Angaben zufolge ausser dem einjährigen Besuch einer Koranschule im Kin-desalter (...) als (...) gearbeitet hat; im Iran hat er nach eigenen Angaben in den Jahren 2002 bis 2004 (...). Auch hat er offenbar in Afghanistan - mit Ausnahme eines Kurzaufenthalts in (...) - nie ausserhalb seines Wohnortes gelebt. Zu seinen in Afghanistan lebenden Verwandten sind keine verlässlichen Informationen aktenkundig. Aufgrund der Aktenlage kann jedenfalls nicht davon ausgegangen werden, der Beschwerdeführer könnte sich mit Hilfe von mutmasslich irgendwo lebenden Angehörigen im Grossraum Kabul oder in einer der anderen Provinz eine Existenzgrundlage aufbauen. Des Weiteren sind den Akten auch keine Anhaltspunkte dafür zu entnehmen, der im Iran wohnhafte (...) sei wirtschaftlich in der Lage sei, den Beschwerdeführer finanziell zu unterstützen und ihm beim Aufbau einer gesicherten Wohn- und Arbeitssituation behilflich zu sein. Entgegen den spekulativen Ausführungen des BFM in der angefochte-nen Verfügung ist bei dieser Sachlage somit nicht auf ein mutmasslich funktionierendes verwandtschaftliches Beziehungsnetz in Afghanistan zu schliessen, das eine Rückkehr dorthin erlauben würde.</w:t>
      </w:r>
    </w:p>
    <w:p>
      <w:r>
        <w:rPr>
          <w:b/>
        </w:rPr>
        <w:t>E. 6.2.3</w:t>
      </w:r>
    </w:p>
    <w:p>
      <w:r>
        <w:t>Im Übrigen ist ein Vollzug der Wegweisung in den Iran auszuschliessen, zumal sich der Beschwerdeführer eigenen Angaben zufolge dort nicht mehr legal aufhalten kann (A12 S. 18) und somit die Voraussetzungen für eine legale Wiedereinreise nicht erfüllt sind.</w:t>
      </w:r>
    </w:p>
    <w:p>
      <w:r>
        <w:rPr>
          <w:b/>
        </w:rPr>
        <w:t>E. 6.3</w:t>
      </w:r>
    </w:p>
    <w:p>
      <w:r>
        <w:t>Angesichts dieser Sachlage ist der Vollzug der Wegweisung als unzumutbar zu bezeichnen. Die Voraussetzungen für die Gewährung der vorläufigen Aufnahme sind damit erfüllt.</w:t>
      </w:r>
    </w:p>
    <w:p>
      <w:r>
        <w:rPr>
          <w:b/>
        </w:rPr>
        <w:t>E. 7</w:t>
      </w:r>
    </w:p>
    <w:p>
      <w:r>
        <w:t>Aufgrund der vorstehenden Erwägungen erübrigt sich ohne weiteren Begründungsaufwand eine Auseinandersetzung mit den weiteren Aus-führungen in der Beschwerde und den vorstehend erwähnten Unge-reimtheiten. Die Beschwerde ist teilweise gutzuheissen, und die Dispo-sitivziffern 4 und 5 der Verfügung vom 30. März 2006 sind aufzuheben. Das BFM ist anzuweisen, den Beschwerdeführer in der Schweiz we-gen Unzumutbarkeit des Wegweisungsvollzugs vorläufig aufzunehmen (vgl. Art. 44 Abs. 2 AsylG und Art. 83 AuG). Einer vorläufigen Aufnah-me stehen keine einschränkenden gesetzlichen Tatbestände entgegen (Art. 83 Abs. 7 AuG). Soweit die Aufhebung der Ziffer 3 des Dispositivs der angefochtenen Verfügung beantragt wird, ist die Beschwerde ab-zuweisen.</w:t>
      </w:r>
    </w:p>
    <w:p>
      <w:r>
        <w:rPr>
          <w:b/>
        </w:rPr>
        <w:t>E. 8.1</w:t>
      </w:r>
    </w:p>
    <w:p>
      <w:r>
        <w:t>Bei diesem Ausgang des Verfahrens sind dem hälftig obsiegenden Beschwerdeführer keine Kosten aufzuerlegen (Art. 63 Abs. 1 und 3 VwVG sowie Art. 16 Abs. 1 Bst. a VGG i.V.m. Art. 2 und 3 des Regle-ments über die Kosten und Entschädigungen vor dem Bundesverwal-tungsgericht vom 21. Februar 2008 [VGKE, SR 173.320.2]), womit das Gesuch um Gewährung der unentgeltlichen Prozessführung gegen-standslos wird und darüber nicht zu befinden ist (vgl. dazu Dispositiv-ziffer 2 der Verfügung vom 26. April 2006).</w:t>
      </w:r>
    </w:p>
    <w:p>
      <w:r>
        <w:rPr>
          <w:b/>
        </w:rPr>
        <w:t>E. 8.2</w:t>
      </w:r>
    </w:p>
    <w:p>
      <w:r>
        <w:t>Dem vertretenen Beschwerdeführer ist angesichts seines hälftigen Obsiegens eine Entschädigung lediglich für die ihm notwendigerweise erwachsenen Parteikosten zuzusprechen. Die beiden Rechtsvertre-tungen beziffern in den gefaxten Honorarnoten vom 18. November 2009 ihre Aufwendungen insgesamt einen zeitlichen Aufwand von 12,2 Stunden ([...], 7 Stunden bei einem Ansatz von Fr. 150.-; [...], 5,2 Stunden bei einem Ansatz von Fr. 200.- und Mehrwertsteuer [MWST] 7,6%) sowie Barauslagen von Fr. 40.- respektive Fr. 34.-, was einem Gesamtaufwand von Fr. 2245.60 (Fr. 1090 / Fr. 1155.60) entspricht. Der von beiden Rechtsvertretern angegebene Aufwand wird vom Gericht als angemessen erachtet. Unter Berücksichtigung der Bemessungsgrundsätze (Art. 1 bis 3 VGKE) und des hälftigen Obsiegens ist dem Beschwerdeführer somit für die Aufwendungen von (...) eine reduzierte Parteientschädigung von total Fr. 545.- (inklusive Auslagen) und für die Aufwendungen von (...) eine reduzierte Parteientschädigung von total Fr. 577.80 (inklusive Auslagen und MWST) zuzusprechen, welche Beträge vom Bundesamt zu entrichten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