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E-5518/2023 vom 25. April 2024</w:t>
      </w:r>
    </w:p>
    <w:p>
      <w:r>
        <w:t>Bundesverwaltungsgericht, 2024-04-25, DE</w:t>
      </w:r>
    </w:p>
    <w:p>
      <w:r>
        <w:rPr>
          <w:b/>
        </w:rPr>
        <w:t xml:space="preserve">Quelle: </w:t>
      </w:r>
      <w:r>
        <w:t>https://mcp.opencaselaw.ch/entscheid/bvger_E-5518_2023</w:t>
      </w:r>
    </w:p>
    <w:p>
      <w:r>
        <w:t>FR: TAF E-5518/2023 du 25 avril 2024</w:t>
      </w:r>
    </w:p>
    <w:p>
      <w:r>
        <w:t>IT: TAF E-5518/2023 del 25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E-5518/2023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Beschwerdeführenden rügen in formeller Hinsicht sinngemäss eine Verletzung des Anspruches auf rechtliches Gehör, namentlich des Unter- suchungsgrundsatzes sowie eine unvollständige Abklärung des rechtser- heblichen Sachverhalts. Sie machen geltend, angesichts des Urteils des Bundverwaltungsgerichts E-4760/2022 vom 1. September 2023 hätte die Vorinstanz abklären müssen, ob ihnen tatsächlich eine Schutzinfrastruktur offenstehe beziehungsweise zugänglich sei. Auch habe sie weitere Abklä- rungen zur Korruption in Serbien und insbesondere zum Onkel unterlas- sen. Sie habe ihre Aussagen lediglich als reine Behauptungen abgetan und darauf verwiesen, dass der Bundesrat Serbien nicht leichtfertig als verfol- gungssicheren Staat bezeichnet habe. Damit habe sie keine rechtsgenüg- liche Prüfung und Begründung im Einzelfall vorgenommen. Diese Rügen sind vorab zu beurteilen, da sie allenfalls geeignet wären, eine Kassation der vorinstanzlichen Verfügung zu bewirken.</w:t>
      </w:r>
    </w:p>
    <w:p>
      <w:r>
        <w:rPr>
          <w:b/>
        </w:rPr>
        <w:t>E. 4.2</w:t>
      </w:r>
    </w:p>
    <w:p>
      <w:r>
        <w:t>Der in Art. 29 Abs. 1 BV verankerte Anspruch auf rechtliches Gehör, welcher in den Art. 29 ff. VwVG konkretisiert wird, dient einerseits der Auf- klärung des Sachverhalts, andererseits stellt er ein persönlichkeitsbezoge- nes Mitwirkungsrecht der Partei dar. Die Begründungspflicht gebietet, dass die betroffene Person den Entscheid gestützt auf die Begründung sachge- recht anfechten kann und sich sowohl die betroffene Person als auch die Rechtsmittelinstanz über die Tragweite des Entscheides ein Bild machen können (vgl. BVGE 2007/30 E. 5.6; KNEUBÜHLER/PEDRETTI, in: Auer/Mül- ler/Schindler [Hrsg.], Kommentar zum Bundesgesetz über das VwVG, 2. Aufl. 2019, N 5 ff. zu Art. 35 VwVG). Unvollständig ist die Sachverhalts-</w:t>
      </w:r>
    </w:p>
    <w:p>
      <w:r>
        <w:t>E-5518/2023 Seite 6 feststellung, wenn nicht alle für den Entscheid rechtswesentlichen Sa- chumstände berücksichtigt werden (vgl. KÖLZ/HÄFNER/BERTSCHI, Verwal- tungsverfahren und Verwaltungsrechtspflege des Bundes, 3. Aufl., 2013, Rz. 1043).</w:t>
      </w:r>
    </w:p>
    <w:p>
      <w:r>
        <w:rPr>
          <w:b/>
        </w:rPr>
        <w:t>E. 4.3</w:t>
      </w:r>
    </w:p>
    <w:p>
      <w:r>
        <w:t>In der angefochtenen Verfügung sind die wesentlichen Vorbringen der Beschwerdeführenden zu ihren Asylgründen aufgeführt und bei der Be- gründung des Entscheides berücksichtigt worden. Die Vorinstanz legte da- bei in der Begründung nachvollziehbar dar, weshalb sie die von den Be- schwerdeführenden geltend gemachten Übergriffe nicht als asylrelevant einstuft, wobei eine konkrete Würdigung des Einzelfalls vorgenommen wurde. Es liegt sodann noch nicht zwingend eine Verletzung der Begrün- dungspflicht vor, wenn die Vorinstanz in ihrem Entscheid ein Urteil des Bun- desverwaltungsgerichts nicht ausdrücklich erwähnt. Dies umso weniger, als das angeführte Urteil auf einen gänzlich anderen Sachverhalt beruht. Insoweit erweist sich die erhobene Rüge als unbegründet. Weiter ist die im Verwaltungsverfahren geltende Untersuchungsmaxime (vgl. Art. 12 Abs. 1 VwVG) nicht so zu verstehen, dass die Behörden nach der Existenz sämtlicher von den Asylsuchenden behaupteten Tatsachen zu forschen haben. Insbesondere findet der Grundsatz seine Schranken in der Mitwirkungspflicht (Art. 12 VwVG; Art. 8 AsylG). Vorliegend kommt hinzu, dass es grundsätzlich an den Beschwerdeführenden liegt, die Ver- mutung des verfolgungssicheren Heimatstaates (vgl. Art. 6a Abs. 2 Bst. a AsylG sowie E. 6.3 nachfolgend) umzustossen. Es ist somit nicht ersicht- lich, inwiefern die Vorinstanz den Untersuchungsgrundsatz sowie die Pflicht zur sorgfältigen Sachverhaltsabklärung verletzt haben soll. Auch diese Rüge ist unbegründet.</w:t>
      </w:r>
    </w:p>
    <w:p>
      <w:r>
        <w:rPr>
          <w:b/>
        </w:rPr>
        <w:t>E. 4.4</w:t>
      </w:r>
    </w:p>
    <w:p>
      <w:r>
        <w:t>Nach dem Gesagten erweisen sich die formellen Rügen als unbegrün- det, weshalb der Subeventualantrag auf Rückweisung der Sache an die Vorinstanz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w:t>
      </w:r>
    </w:p>
    <w:p>
      <w:r>
        <w:t>E-5518/2023 Seite 7 Leibes, des Lebens oder der Freiheit sowie Massnahmen, die einen uner- träglichen psychischen Druck bewirken; den frauenspezifischen Flucht- gründen ist Rechnung zu tragen (Art. 3 Abs. 2 AsylG).</w:t>
      </w:r>
    </w:p>
    <w:p>
      <w:r>
        <w:rPr>
          <w:b/>
        </w:rPr>
        <w:t>E. 6.1</w:t>
      </w:r>
    </w:p>
    <w:p>
      <w:r>
        <w:t>Die Vorinstanz kam in der angefochtenen Verfügung zum Schluss, die Vorbringen der Beschwerdeführenden hielten den Anforderungen an die Flüchtlingseigenschaft gemäss Art. 3 AsylG nicht stand. Zur Begründung hält sie im Wesentlichen fest, bei Serbien handle es sich um einen vom Bundesrat als verfolgungssicheren bezeichneten Heimat- oder Herkunftsstaat im Sinne von Art. 6a Abs. 2 Bst. a AsylG. Diese Legal- vermutung könne im Einzelfall umgestossen werden. Die von den Be- schwerdeführenden dargelegten Vorfälle gingen von Drittpersonen aus und würden vom serbischen Staat weder unterstützt noch gebilligt. Insbe- sondere stelle die Schilderung, der Onkel habe in Serbien landesweiten Einfluss auf die Behörden und die Polizei, eine "reine Parteiaussage" dar. Es gebe keine Hinweise auf eine staatliche Verfolgung und die geschilder- ten Ereignisse würden von den zuständigen Strafverfolgungsbehörden im Rahmen ihrer Möglichkeiten verfolgt und geahndet. Es sei ihnen somit möglich und zumutbar, mit rechtlichen Mitteln und gegebenenfalls mit Hilfe eines Rechtsanwalts, gegen die geltend gemachten Übergriffe vorzuge- hen. Sofern die Polizei untätig bleibe, bestehe die Möglichkeit, sich bei ei- ner höheren Instanz zu beschweren. Betroffene könnten sich zudem an eine Menschenrechtsorganisation wenden. Da ein adäquater Schutz durch den Heimatstaat vorhanden sei, seien die geltend gemachten Übergriffe nicht asylrelevant. Zudem sei aus den eingereichten Gerichtsunterlagen nicht erkennbar, dass die beiden Verfahren unrechtmässig eingeleitet worden seien. Auch sei anhand der zwei Fotokopien und des nachgereichten Arztberichts be- treffend die Verletzungen des Beschwerdeführers nicht ersichtlich, wann und durch wen oder was er sich diese zugezogen habe.</w:t>
      </w:r>
    </w:p>
    <w:p>
      <w:r>
        <w:rPr>
          <w:b/>
        </w:rPr>
        <w:t>E. 6.2</w:t>
      </w:r>
    </w:p>
    <w:p>
      <w:r>
        <w:t>In der Rechtsmitteleingabe rügen die Beschwerdeführenden sinnge- mäss, die Vorinstanz habe sie zu Unrecht nicht als Flüchtlinge anerkannt. Sie machen im Wesentlichen geltend, die serbischen Behörden seien we- der fähig noch willig, ihnen Schutz vor nichtstaatlicher Verfolgung zu ge- währleisten. Die serbische Polizei habe sich an der Gewalt des Onkels ge- gen sie beteiligt. Überdies seien die serbischen Behörden korrupt und näh- men willkürlich Ausnahmen in ihrer Schutzgewährung vor.</w:t>
      </w:r>
    </w:p>
    <w:p>
      <w:r>
        <w:t>E-5518/2023 Seite 8</w:t>
      </w:r>
    </w:p>
    <w:p>
      <w:r>
        <w:rPr>
          <w:b/>
        </w:rPr>
        <w:t>E. 6.3</w:t>
      </w:r>
    </w:p>
    <w:p>
      <w:r>
        <w:t>Die vorinstanzlichen Erwägungen sind nicht zu beanstanden. In der an- gefochtenen Verfügung wird einlässlich dargelegt, aus welchen Gründen die Beschwerdeführenden die Voraussetzungen zur Anerkennung als Flüchtling nicht erfüllen. Mit der Vorinstanz ist festzuhalten, dass Serbien durch den Bundesrat als verfolgungssicherer Staat («Safe Country») gemäss Art. 6a Abs. 2 Bst. a AsylG bezeichnet wurde (vgl. Asylverordnung 1 über Verfahrensfragen vom 11. August 1999, SR 142.311, Anhang 2) und daher die Regelvermu- tung gilt, dass eine asylrelevante staatliche Verfolgung nicht stattfindet und der Schutz vor nichtstaatlicher Verfolgung gewährleistet ist. Es handelt sich hierbei um eine relative Verfolgungssicherheit, welche im Einzelfall auf- grund konkreter und substanziierter Hinweise umgestossen werden kann. Mit ihrer Rechtsmitteleingabe, die sich hauptsächlich in der Wiederholung des bereits bekannten Sachverhalts erschöpft, vermögen die Beschwerde- führenden den überzeugenden vorinstanzlichen Argumenten nichts Stich- haltiges entgegenzuhalten. Es ist festzuhalten, dass die pauschalen Vor- bringen der Beschwerdeführenden – ebenso wie die erstmalige Nennung des Namens des angeblich (…) gesuchten Onkels – nicht geeignet sind, eine flüchtlingsrechtlich relevante Verfolgung darzulegen. Insbesondere vermögen die blossen Hinweise auf die Verbindung des angeblich einfluss- reichen Onkels zur Polizei und den Behörden sowie die erwähnte Korrup- tion in Serbien nichts zu ändern. Zudem lassen der eingereichte Arztbericht und die Fotografien, die den offenbar verletzten Beschwerdeführer zeigen, keine Hinweise auf den möglichen Verursacher und Zeitpunkt der Verlet- zungen zu. Sie sind mithin als Beweis für den angeblichen Übergriff durch die Polizei untauglich. Schliesslich sind die eingereichten Gerichtsdoku- mente nicht geeignet darzutun, der serbische Staat unterlasse die Straf- verfolgung systematisch und in flüchtlingsrechtlich relevanter Weise. Auf- grund der Ausführungen ist – in Übereinstimmung mit der Vorinstanz – im Ergebnis nicht dargelegt, dass die Beschwerdeführenden in ihrem Heimat- land behördlich verfolgt werden. Es kann daher auf die zutreffenden Aus- führungen in der angefochtenen Verfügung verwiesen werden. Nach dem Gesagten sind vorliegend keine konkreten Anhaltspunkte für eine asylrelevante staatliche Verfolgung und Schutz vor nichtstaatlicher Verfolgung durch den serbischen Staat ersichtlich. Es ist daher davon aus- zugehen, die serbischen Behörden würden im Falle einer Rückkehr den erforderlichen Schutz gewähren.</w:t>
      </w:r>
    </w:p>
    <w:p>
      <w:r>
        <w:t>E-5518/2023 Seite 9</w:t>
      </w:r>
    </w:p>
    <w:p>
      <w:r>
        <w:rPr>
          <w:b/>
        </w:rPr>
        <w:t>E. 6.4</w:t>
      </w:r>
    </w:p>
    <w:p>
      <w:r>
        <w:t>Zusammenfassend ist festzuhalten, dass es den Beschwerdeführen- den nicht gelingt, die aus Art. 6a Abs. 2 Bst. a AsylG fliessende Regelver- mutung umzustossen. Die Vorinstanz hat zu Recht die Flüchtlingseigen- schaft verneint sowie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E-5518/2023 Seite 10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Serbien ist demnach unter dem Aspekt von Art. 5 AsylG rechtmässig.</w:t>
      </w:r>
    </w:p>
    <w:p>
      <w:r>
        <w:rPr>
          <w:b/>
        </w:rPr>
        <w:t>E. 8.2.3</w:t>
      </w:r>
    </w:p>
    <w:p>
      <w:r>
        <w:t>Sodann ergeben sich weder aus den Aussagen der Beschwerdefüh- renden noch aus den Akten Anhaltspunkte dafür, dass sie für den Fall einer Ausschaffung nach Serbien dort mit beachtlicher Wahrscheinlichkeit einer nach Art. 3 EMRK oder Art. 1 FoK verbotenen Strafe oder Behandlung aus- 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in Serbien lässt den Wegweisungsvollzug zum heutigen Zeitpunkt nicht als unzulässig erschei- 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Serbien ist weder von Krieg, Bürgerkrieg noch von allgemeiner Gewalt gekennzeichnet und der Vollzug der Wegweisung dorthin grundsätzlich zumutbar. Der Bundesrat hat Serbien per 1. Januar 2018 denn auch als Heimat- oder Herkunftsstaat bezeichnet, in welchen</w:t>
      </w:r>
    </w:p>
    <w:p>
      <w:r>
        <w:t>E-5518/2023 Seite 11 eine Rückkehr in der Regel zumutbar ist (vgl. Anhang 2 der Verordnung über den Vollzug der Weg- und Ausweisung sowie der Landesverweisung von ausländischen Personen [VVWAL, SR 142.281]). Die Regelvermutung der Zumutbarkeit des Wegweisungsvollzuges kann durch konkrete und substantiierte Hinweise umgestossen werden.</w:t>
      </w:r>
    </w:p>
    <w:p>
      <w:r>
        <w:rPr>
          <w:b/>
        </w:rPr>
        <w:t>E. 8.3.2</w:t>
      </w:r>
    </w:p>
    <w:p>
      <w:r>
        <w:t>Zur Begründung hinsichtlich der individuellen Zumutbarkeit des Weg- weisungsvollzugs kann vollumfänglich auf die zutreffenden Erwägungen der Vorinstanz verwiesen werden, denen in der Beschwerde nichts entge- gengesetzt wird. Auch unter dem Aspekt des Kindeswohls sind keine Um- stände ersichtlich, die einem Wegweisungsvollzug im Wege stehen. Nach dem Gesagten erweist sich der Vollzug der Wegweisung auch als zumut- bar.</w:t>
      </w:r>
    </w:p>
    <w:p>
      <w:r>
        <w:rPr>
          <w:b/>
        </w:rPr>
        <w:t>E. 8.4</w:t>
      </w:r>
    </w:p>
    <w:p>
      <w:r>
        <w:t>Die Beschwerdeführenden verfügen alle über noch mehrere Jahre gül- tige serbische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23. Oktober 2023 geleistete Kostenvor- schuss in der Höhe von Fr. 750.– ist zur Bezahlung der Verfahrenskosten zu verwenden.</w:t>
      </w:r>
    </w:p>
    <w:p>
      <w:r>
        <w:t>(Dispositiv nächste Seite)</w:t>
      </w:r>
    </w:p>
    <w:p>
      <w:r>
        <w:t>E-5518/2023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