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E-5516/2023 vom 17. Oktober 2023</w:t>
      </w:r>
    </w:p>
    <w:p>
      <w:r>
        <w:t>Bundesverwaltungsgericht, 2023-10-17, DE</w:t>
      </w:r>
    </w:p>
    <w:p>
      <w:r>
        <w:rPr>
          <w:b/>
        </w:rPr>
        <w:t xml:space="preserve">Quelle: </w:t>
      </w:r>
      <w:r>
        <w:t>https://mcp.opencaselaw.ch/entscheid/bvger_E-5516_2023</w:t>
      </w:r>
    </w:p>
    <w:p>
      <w:r>
        <w:t>FR: TAF E-5516/2023 du 17 octobre 2023</w:t>
      </w:r>
    </w:p>
    <w:p>
      <w:r>
        <w:t>IT: TAF E-5516/2023 del 17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von der Vorinstanz verfügte Anpassung des Geburtsdatums im ZEMIS (vgl. Dispositivziffer 5 der angefochtenen Verfügung) wurde in der Beschwerde vom 10. Oktober 2023 nicht angefochten (vgl. Sachverhalt Bst. J) und bildet demnach nicht Streitgegenstand des vorliegenden Verfahrens. Die vorliegende Beschwerde richtet sich demnach ausschliesslich gegen den Nichteintretensentscheid des SEM und die Überstellung nach Frankreich.</w:t>
      </w:r>
    </w:p>
    <w:p>
      <w:r>
        <w:rPr>
          <w:b/>
        </w:rPr>
        <w:t>E. 4</w:t>
      </w:r>
    </w:p>
    <w:p>
      <w:r>
        <w:t>Die Beschwerde erweist sich - wie nachfolgend aufgezeigt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 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Den Akten zufolge lehnten die erstinstanzlichen französischen Behörden das zuletzt gestellte Asylgesuch des Beschwerdeführers mit Entscheid 5. September 2020 ab; die dagegen erhobene Beschwerde wurde mit Urteil vom 22. Dezember 2022 abgewiesen. Die französischen Behörden stimmten dem Wiederaufnahmeersuchen des SEM vom 14. Juli 2023 innert der massgeblichen Frist ausdrücklich zu. Die grundsätzliche Zuständigkeit Frankreichs für die weitere Durchführung des Asyl- und namentlich des Wegweisungsverfahrens betreffend den Beschwerdeführer ist damit gegeben, was vom Beschwerdeführer - der die überzeugende materielle Begründung der vorinstanzlichen Annahme seiner Volljährigkeit inhaltlich nicht beanstandet - nicht bestritten wird.</w:t>
      </w:r>
    </w:p>
    <w:p>
      <w:r>
        <w:rPr>
          <w:b/>
        </w:rPr>
        <w:t>E. 6.2</w:t>
      </w:r>
    </w:p>
    <w:p>
      <w:r>
        <w:t>Im Lichte von Art. 3 Abs. 2 Dublin-III-VO ist sodann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(entspricht Art. 3 EMRK) mit sich bringen würden.</w:t>
      </w:r>
    </w:p>
    <w:p>
      <w:r>
        <w:rPr>
          <w:b/>
        </w:rPr>
        <w:t>E. 6.2.1</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der Aufnahmerichtlinie ergeben. Ferner bestehen keine Gründe für die Annahme, das Asylverfahren und die Aufnahmebedingungen für Antragstellende in Frankreich würden systemische Schwachstellen im Sinne von Art. 3 Abs. 2 Sätze 2 und 3 Dublin-III-VO aufweisen.</w:t>
      </w:r>
    </w:p>
    <w:p>
      <w:r>
        <w:rPr>
          <w:b/>
        </w:rPr>
        <w:t>E. 6.2.2</w:t>
      </w:r>
    </w:p>
    <w:p>
      <w:r>
        <w:t>An diesen Feststellungen vermögen auch die Vorbringen des Beschwerdeführers, er habe nach Abschluss seines Asylverfahrens in Frankreich auf der Strasse leben müssen, und die französischen Behörden hätten ihn nach Afghanistan ausschaffen wollen, nichts zu ändern. Es liegen keine konkreten Anhaltspunkte vor, welche die Annahme widerlegen könnte, wonach sich Frankreich an die vorstehend erwähnten einschlägigen Richtlinien hält und Asylsuchenden adäquate Unterstützung gewährt. Schliesslich ist darauf hinzuweisen, dass er bei allfälligen Problemen mit den Aufnahmebedingungen die Möglichkeit hätte, sich an die franzö-sischen Behörden zu wenden und seine diesbezüglichen Rechte einzu-fordern (vgl. Art. 26 Aufnahmerichtlinie).</w:t>
      </w:r>
    </w:p>
    <w:p>
      <w:r>
        <w:rPr>
          <w:b/>
        </w:rPr>
        <w:t>E. 6.2.3</w:t>
      </w:r>
    </w:p>
    <w:p>
      <w:r>
        <w:t>Es ist sodann festzustellen, dass die französischen Behörden das Asylgesuch des Beschwerdeführers den Akten zufolge offenbar abgelehnt und die Wegweisung aus Frankreich verfügt haben. Die blosse Tatsache, dass ein Asylgesuch definitiv abgelehnt und die Wegweisung verfügt wurde, stellt jedoch noch keine Verletzung des Non-Refoulement-Prinzips dar (vgl. BVGE 2017 VI/5 E. 8.5.3.3; Urteil des BVGer E-569/2020 vom 4. März 2020), und es bestehen auch keine Hinweise darauf, dass das erwähnte französische Asyl- und Wegweisungsverfahren betreffend den Beschwerdeführer nicht in rechtsstaatlich korrekter Weise und unter Beachtung der anwendbaren völkerrechtlichen Bestimmungen, namentlich auch des Non-Refoulement-Gebots, durchgeführt worden sind. Es steht dem Beschwerdeführer frei, seine Bedenken betreffend die Vereinbarkeit des Vollzugs einer Wegweisung aus Frankreich bei den französischen Behörden im Rahmen eines Wiedererwägungsverfahrens vorzutragen.</w:t>
      </w:r>
    </w:p>
    <w:p>
      <w:r>
        <w:rPr>
          <w:b/>
        </w:rPr>
        <w:t>E. 6.2.4</w:t>
      </w:r>
    </w:p>
    <w:p>
      <w:r>
        <w:t>Nach dem Gesagten ist die Anwendung von Art. 3 Abs. 2 Dublin-III-VO nicht gerechtfertigt und es besteht auch keine Veranlassung, die Sache wegen unrichtiger Sachverhaltsfeststellung zur Neubeurteilung an die Vor-instanz zurückzuweisen; der Eventualantrag des Beschwerdeführers ist abzuweisen.</w:t>
      </w:r>
    </w:p>
    <w:p>
      <w:r>
        <w:rPr>
          <w:b/>
        </w:rPr>
        <w:t>E. 7.1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7.2</w:t>
      </w:r>
    </w:p>
    <w:p>
      <w:r>
        <w:t>Es gilt die Vermutung, dass Frankreich - als Dublin-Mitgliedstaat - bei der Durchführung des Asyl- und Wegweisungsverfahrens die einschlägigen völkerrechtlichen Verpflichtungen respektiert. Der Beschwerdeführer bringt nichts vor, was diese Vermutung widerlegen könnte. Nach dem Gesagten sind keine Hinweise auf das Bestehen eines völkerrechtlichen Vollzugshindernisses im Sinne von Art. 3 EMRK - welches zwingend zu einem Selbsteintritt führen müsste - ersichtlich.</w:t>
      </w:r>
    </w:p>
    <w:p>
      <w:r>
        <w:rPr>
          <w:b/>
        </w:rPr>
        <w:t>E. 7.3</w:t>
      </w:r>
    </w:p>
    <w:p>
      <w:r>
        <w:t>Die allgemeinen Aufnahmebedingungen für (gestützt auf die Dublin-III-VO zurückkehrende) Asylsuchende in Frankreich führen nach bisheriger Praxis des Bundesverwaltungsgerichts denn auch nicht zur Ausübung des Selbsteintrittsrechts der Schweiz.</w:t>
      </w:r>
    </w:p>
    <w:p>
      <w:r>
        <w:rPr>
          <w:b/>
        </w:rPr>
        <w:t>E. 7.4</w:t>
      </w:r>
    </w:p>
    <w:p>
      <w:r>
        <w:t>Unter dem Blickwinkel der humanitären Gründe ist ferner Folgendes festzuhalten:</w:t>
      </w:r>
    </w:p>
    <w:p>
      <w:r>
        <w:rPr>
          <w:b/>
        </w:rPr>
        <w:t>E. 7.4.1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7.4.2</w:t>
      </w:r>
    </w:p>
    <w:p>
      <w:r>
        <w:t>Die angefochtene Verfügung ist unter diesem Blickwinkel nicht zu beanstanden. Insbesondere sind den Akten keine Hinweise auf einen Ermessensmissbrauch oder ein Über- respektive Unterschreiten des Ermessens zu entnehmen. Der Beschwerdeführer bringt in seiner Beschwerde auch nichts Substanzielles in diesem Zusammenhang vor. Das Gericht enthält sich deshalb in diesem Zusammenhang weiterer Äusserungen.</w:t>
      </w:r>
    </w:p>
    <w:p>
      <w:r>
        <w:rPr>
          <w:b/>
        </w:rPr>
        <w:t>E. 7.5</w:t>
      </w:r>
    </w:p>
    <w:p>
      <w:r>
        <w:t>Nach dem Gesagten sind vorliegend keine Gründe ersichtlich für die Anwendung der Ermessensklauseln von Art. 17 Dublin-III-VO oder von Art. 29a Abs. 3 AsylV 1, weshalb Frankreich der für die Behandlung des Asylgesuchs des Beschwerdeführers zuständige Mitgliedstaat gemäss Dublin-III-VO bleibt.</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Frankreich in Anwendung von Art. 44 AsylG ebenfalls zu Recht angeordnet (Art. 32 Bst. a AsylV 1).</w:t>
      </w:r>
    </w:p>
    <w:p>
      <w:r>
        <w:rPr>
          <w:b/>
        </w:rPr>
        <w:t>E. 9</w:t>
      </w:r>
    </w:p>
    <w:p>
      <w:r>
        <w:t>Die Beschwerde ist abzuweisen, und die Verfügung der Vorinstanz ist zu bestätigen.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der am 11. Oktober 2023 angeordnete provisorische Vollzugsstopp fällt dahin.</w:t>
      </w:r>
    </w:p>
    <w:p>
      <w:r>
        <w:rPr>
          <w:b/>
        </w:rPr>
        <w:t>E. 10.2</w:t>
      </w:r>
    </w:p>
    <w:p>
      <w:r>
        <w:t>Das Gesuch um Gewährung der unentgeltlichen Prozessführung (Art. 65 Abs. 1 VwVG) ist ungeachtet der geltend gemachten prozessualen Bedürftigkeit abzuweisen, da sich die Beschwerdebegehren entsprechend den vorstehenden Erwägungen von vornherein als aussichtslos erwiesen haben.</w:t>
      </w:r>
    </w:p>
    <w:p>
      <w:r>
        <w:rPr>
          <w:b/>
        </w:rPr>
        <w:t>E. 10.3</w:t>
      </w:r>
    </w:p>
    <w:p>
      <w:r>
        <w:t>Demzufolge sind die Verfahrenskosten in der Höhe von Fr. 750.- dem Beschwerdeführer aufzuerlegen (Art. 63 Abs. 1 VwVG;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