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E-5515/2012 vom 15. Januar 2013</w:t>
      </w:r>
    </w:p>
    <w:p>
      <w:r>
        <w:t>Bundesverwaltungsgericht, 2013-01-15, DE</w:t>
      </w:r>
    </w:p>
    <w:p>
      <w:r>
        <w:rPr>
          <w:b/>
        </w:rPr>
        <w:t xml:space="preserve">Quelle: </w:t>
      </w:r>
      <w:r>
        <w:t>https://mcp.opencaselaw.ch/entscheid/bvger_E-5515_2012</w:t>
      </w:r>
    </w:p>
    <w:p>
      <w:r>
        <w:t>FR: TAF E-5515/2012 du 15 janvier 2013</w:t>
      </w:r>
    </w:p>
    <w:p>
      <w:r>
        <w:t>IT: TAF E-5515/2012 del 15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(Art. 37 VGG i.V.m. Art. 50 Abs. 1 und Art. 52 VwVG). Der Beschwerdeführer hat am Verfahren vor der Vorinstanz teilgenommen, ist durch die angefochtene Verfügung besonders berührt und hat ein schutzwürdiges Interesse an deren Aufhebung beziehungsweise Änderung. Folglich ist er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1.4</w:t>
      </w:r>
    </w:p>
    <w:p>
      <w:r>
        <w:t>Gestützt auf Art. 111a Abs. 1 AsylG wurde vorliegend auf einen Schriftenwechsel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Nach Prüfung der Akten gelangt das Bundesverwaltungsgericht zum Schluss, dass die Unglaubhaftigkeitsargumentation des BFM der Aktenlage in weiten Teilen gerecht wird und das Bundesamt die Asylvorbringen des Beschwerdeführers bezüglich der Verfolgungssituation insgesamt zu Recht als unglaubhaft qualifizierte. Ob allerdings im Lichte der Schutztheorie der Schutzwille und die Schutzfähigkeit der heimatlichen Behörden zureichend wären respektive ob es dem Beschwerdeführer zuzumuten wäre, einen in Kabul allfällig erhältlichen Schutz längerfristig in Anspruch zu nehmen, kann vorliegend offen gelassen werden.</w:t>
      </w:r>
    </w:p>
    <w:p>
      <w:r>
        <w:rPr>
          <w:b/>
        </w:rPr>
        <w:t>E. 4.1</w:t>
      </w:r>
    </w:p>
    <w:p>
      <w:r>
        <w:t>Dass der Beschwerdeführer aktuell eine im asylrechtlichen Kontext bedeutsame Verfolgung im Heimatland zu befürchten hat, wird aus der vorgetragenen Sachverhaltsdarstellung nicht ersichtlich. Vielmehr lassen die im Verlauf des Verfahrens entstandenen Unstimmigkeiten in den Aussagen des Beschwerdeführers erhebliche Zweifel an der Richtigkeit des Vorgebrachten zu. Zwar ist festzuhalten, dass die geltend gemachten Vorbringen in Bezug auf den langjährigen Konflikt mit den Taliban betreffend die Ländereien der Familie des Beschwerdeführers grundsätzlich nicht der Glaubhaftigkeit entbehren, jedoch ist dem BFM beizupflichten, wenn es implizit festhält, dass der Beschwerdeführer nicht in der Lage gewesen sei, die im Ausreisezeitpunkt angeblich individuell drohende Gefährdung seitens der Taliban zu konkretisieren. Insbesondere bietet seine Aussage, die Gegner würden auf Zeit spielen und hoffen, dass man ihnen das Land verkaufe oder ganz überlasse (A21/13 S. 10), keine nachvollziehbare Erklärung dafür, weshalb der Druck seitens der Taliban bezüglich des Grundbesitzkonflikts im April 2012, obschon sich der Beschwerdeführer eigenen Angaben zufolge bereits seit 200(...) in Kabul aufgehalten hat, dermassen zugenommen hat, dass es ihm - anders als seinem ebenfalls in Kabul lebenden Cousin - nicht möglich war, im Heimatland zu verbleiben. Die Begründung des Beschwerdeführers, der Cousin habe jemanden aus seiner Familienverwandtschaft mit den Kontrahenten verheiratet, weswegen er der Gefahr einer Entführung weniger ausgesetzt sei als der Beschwerdeführer (A21/13 S. 10), erscheint nicht einleuchtend, zumal er in der Beschwerdeeingabe behauptete, seine Familie habe keinerlei Kontakt zu "jenen Leuten". Ferner fehlt es seiner Argumentation - es sei offensichtlich, dass der einzige Weg, um an die besagten Ländereien zu gelangen, über eine Entführung eines Familienmitglieds führe, was ihm sein Cousin Ende April 2012 verdeutlicht habe, indem er den Beschwerdeführer darauf aufmerksam gemacht habe, dass es für ihn äusserst gefährlich sei, in Kabul zu bleiben (A21/13 S. 9) - an der gebotenen Substanz und Plausibilität. Insbesondere wird nicht nachvollziehbar dargelegt, weshalb sich der Beschwerdeführer überhaupt aus Pakistan ausgerechnet wieder nach Afghanistan begab, wenn aufgrund der geltend gemachten Sachlage eines langjährigen Konflikts mit den Taliban die Gefahr einer Entführung derart hoch wäre. Schliesslich wurden weder in der Rechtsmitteleingabe noch in der Beschwerdeergänzung den Erwägungen der Vorinstanz stichhaltige Argumente entgegensetzt, weshalb an den obgenannten Feststellungen auch die eingereichten Beweismittel nichts zu ändern vermögen. Mithin führen die geltend gemachten Vorbringen angesichts der aufgeführten Tatsachendefizite nicht zur Annahme einer begründeten Furcht vor Verfolgung im Sinne von Art. 3 AsylG im Zeitpunkt der Ausreise des Beschwerdeführers.</w:t>
      </w:r>
    </w:p>
    <w:p>
      <w:r>
        <w:rPr>
          <w:b/>
        </w:rPr>
        <w:t>E. 4.2</w:t>
      </w:r>
    </w:p>
    <w:p>
      <w:r>
        <w:t>Des Weiteren liegen keine Erkenntnisse über eine gezielte Verfolgung der Gruppe der Ismailiten in Afghanistan vor. Weder die in der Beschwerdeergänzung erwähnte [Bericht betreffend Situation der Ismailiten] noch weitere Quellen lassen auf eine Kollektivverfolgung der Ismaeliten in Afghanistan schliessen. Namentlich schreibt das US Department of State in seinem Länderbericht zur Menschenrechtslage in Afghanistan vom Mai 2012 (Berichtsjahr: 2011) bezüglich der Situation der Ismailiten, dass gemäss Angaben von Nichtregierungsorganisationen Ismailiten (eine Minderheit der schiitischen Gruppe, deren Mitglieder dem Aga Khan folgen würden) in der Regel nicht gezielt verfolgt oder schwer diskriminiert würden (http://www.state.gov/documents/organization/ 186669.pdf, abgerufen am 27. Dezember 2012). Im Übrigen machte der Beschwerdeführer weder in der EVZ-Befragung noch in der Anhörung geltend, einzig aufgrund seiner Zugehörigkeit zur Gruppe der Ismailiten verfolgt zu werden, weshalb dieses erst auf Beschwerdeebene geltend gemachte Vorbringen als nachgeschoben einzustufen ist.</w:t>
      </w:r>
    </w:p>
    <w:p>
      <w:r>
        <w:rPr>
          <w:b/>
        </w:rPr>
        <w:t>E. 4.3</w:t>
      </w:r>
    </w:p>
    <w:p>
      <w:r>
        <w:t>Vor dem Hintergrund obiger Erwägungen halten die Vorbringen des Beschwerdeführers den Anforderungen an die Flüchtlingseigenschaft mangels begründeter Furcht vor mit beachtlicher Wahrscheinlichkeit und in absehbarer Zukunft eintretender Verfolgung nicht stand. Die Vorinstanz hat folglich zu Recht die Flüchtlingseigenschaft des Beschwerdeführers verneint und sein Asylgesuch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Walter Stöckli, Asyl, in: Uebersax/Rudin/Hugi Yar/Geiser [Hrsg.], Ausländerrecht, 2. Aufl., Basel 2009, Rz. 11.148). Demgegenüber genügen Hinweise auf blosse Eventualitäten und vage Möglichkeiten von Vollzugshindernissen nicht.</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Afghanistan, wohin die Rückkehr des Beschwerdeführers erfolgen soll,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Betreffend die allgemeine Lage in Afghanistan ist auf das Grundsatzurteil BVGE 2011/7 vom 16. Juni 2011 zu verweisen. Nach eingehender Lageanalyse stellte das Bundesverwaltungsgericht darin fest, dass die Sicherheitslage sowie die humanitären Bedingungen in weiten Teilen Afghanistans - ausser allenfalls in den Grossstädten - äusserst schlecht seien, weshalb die Situation in Afghanistan praktisch flächendeckend als existenzbedrohend im Sinne von Art. 83 Abs. 4 AuG zu qualifizieren sei. Von dieser allgemeinen Feststellung sei die Lage in der Hauptstadt Kabul zu unterscheiden. Angesichts dessen, dass dort die Sicherheitslage weniger bedrohlich als in der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Für einen Rückkehrer aus Europa bestehe nach der Ankunft in Kabul ein erhöhtes Risiko, entführt oder überfallen zu werden, da vermutet werde, er trage Devisen auf sich. Verfüge er aber über keine genügenden finanziellen Mittel, habe er ohne soziale Vernetzung kaum Aussicht auf eine zumutbare - das heisst winterfeste und mit minimaler sanitärer Einrichtung ausgestattete - Unterkunft. Auch für die Arbeitssuche seien persönliche Beziehungen unerlässlich, da eine Einstellung (sogar von unqualifizierten Arbeitskräften) regelmässig nur aufgrund persönlicher Empfehlungen erfolge.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Ohne eine soziale Vernetzung würde daher auch ein junger und grundsätzlich gesunder Mann unweigerlich innert absehbarer Zeit in eine existenbedrohende Situation geraten. Im Übrigen betone auch der (für Afghanistan zuständige) Schweizer Botschafter in Islamabad die vorrangige Bedeutung eines tragfähigen sozialen Netzes für einen Rückkehrer zur Vermeidung unüberbrückbarer Schwierigkeiten (vgl. a.a.O., E. 9.9).</w:t>
      </w:r>
    </w:p>
    <w:p>
      <w:r>
        <w:rPr>
          <w:b/>
        </w:rPr>
        <w:t>E. 6.3.2</w:t>
      </w:r>
    </w:p>
    <w:p>
      <w:r>
        <w:t>Der Beschwerdeführer lebte eigenen Angaben zufolge von 200(...) bis zu seiner Ausreise in Kabul, wo er sich in die Wohngemeinschaft eines Verwandten einmietete, in seinem angelernten Beruf als [Tätigkeit] beinahe ununterbrochen tätig war und eigenen Angaben gemäss gutes Geld verdiente. Betreffend die soziale Vernetzung in Kabul gab der Beschwerdeführer in der EVZ-Befragung zu Protokoll, dass alle Verwandten - mit Ausnahme seiner Kernfamilie - (wieder) in Afghanistan leben würden (A8/13 S. 6). In der Anhörung führte er aus, dass einige seiner Verwandten in Kabul, die anderen in Pakistan leben würden (A21/13 S. 2 und 4 f.). Insbesondere lebe sein Cousin, zu dem er telefonischen Kontakt halte und der seine Ausreise mitfinanziert habe, in Kabul (A8/13 S. 7 f., A21/13 S. 5), was auf eine relativ enge Beziehung der beiden schliessen lässt. Dass in der Beschwerdeergänzung im Übrigen erklärt wurde, der Beschwerdeführer verfüge - nebst dem genannten Cousin - über kein familiäres Netz in Kabul, muss aufgrund der Aussagen in den Befragungen als nachgeschobene Behauptung beurteilt werden. Folglich ist davon auszugehen, dass für den Beschwerdeführer vor Ort nach wie vor soziale Anknüpfungspunkte bestehen, er somit über ein tragfähiges Beziehungsnetz verfügt und seine Wohnsituation als gesichert gelten kann. Da sich die familiären Verhältnisse des Beschwerdeführers in Afghanistan seit seiner Ausreise nicht wesentlich verändert haben, würde er im Falle einer Rückkehr höchstwahrscheinlich in keine existenzbedrohende Situation geraten, weshalb sich der Wegweisungsvollzug im Lichte der aktuellen Praxis des Bundesverwaltungsgerichts als zumutbar erweist. In Anbetracht dieser Faktoren und der persönlichen Voraussetzungen des jungen gesunden Beschwerdeführers ist davon auszugehen, dass die soziale und wirtschaftliche Wiedereingliederung in seinem Heimatland gelingen wird. Folglich sind auch keine individuellen Wegweisungshindernisse ersicht­lich, die den Vollzug der Wegweisung als unzumutbar erscheinen lassen.</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den vorstehenden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in der Höhe von Fr. 600.- (Art. 1 - 3 des Reglements vom 21. Februar 2008 über die Kosten und Entschädigungen vor dem Bundesverwaltungsgericht [VGKE, SR 173.320.2]) dem Beschwerdeführer aufzuerlegen (Art. 63 Abs. 1 VwVG). Sie sind durch den am 14. November 2012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