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E-5513/2020 vom 9. Oktober 2020</w:t>
      </w:r>
    </w:p>
    <w:p>
      <w:r>
        <w:t>Bundesverwaltungsgericht, 2020-10-09, DE</w:t>
      </w:r>
    </w:p>
    <w:p>
      <w:r>
        <w:rPr>
          <w:b/>
        </w:rPr>
        <w:t xml:space="preserve">Quelle: </w:t>
      </w:r>
      <w:r>
        <w:t>https://mcp.opencaselaw.ch/entscheid/bvger_E-5513_2020_d20201009</w:t>
      </w:r>
    </w:p>
    <w:p>
      <w:r>
        <w:t>FR: TAF E-5513/2020 du 9 octobre 2020</w:t>
      </w:r>
    </w:p>
    <w:p>
      <w:r>
        <w:t>IT: TAF E-5513/2020 del 9 ottobre 2020</w:t>
      </w:r>
    </w:p>
    <w:p>
      <w:pPr>
        <w:pStyle w:val="Heading2"/>
      </w:pPr>
      <w:r>
        <w:t>Regeste</w:t>
      </w:r>
    </w:p>
    <w:p>
      <w:r>
        <w:t>Asyl und Wegweisung | Asyl und Wegweisung; Verfügung des SEM vom 9.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t>E-5513/2020 Seite 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schwerdeführerin ist als Verfügungsadressatin zur Beschwerdeführung le- gitimiert (Art. 48 VwVG). Auf die frist- und formgerecht eingereichte Be- schwerde (aArt. 108 Abs. 6 AsylG und Art. 52 Abs. 1 VwVG) ist einzutreten.</w:t>
      </w:r>
    </w:p>
    <w:p>
      <w:r>
        <w:rPr>
          <w:b/>
        </w:rPr>
        <w:t>E. 2.2</w:t>
      </w:r>
    </w:p>
    <w:p>
      <w:r>
        <w:t>Das Urteil der vorliegenden Sache ergeht zeitgleich wie dasjenige der Eltern und des Bruders 1 der Beschwerdeführerin. Die Akten der Asylver- fahren der Eltern und des Bruders 1 wurden für das vorliegende Verfahren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rPr>
          <w:b/>
        </w:rPr>
        <w:t>E. 4.2</w:t>
      </w:r>
    </w:p>
    <w:p>
      <w:r>
        <w:t>Die Beschwerdeführerin rügt eine Verletzung des rechtlichen Gehörs und der Begründungspflicht. Der Umstand, dass nicht nur sie, sondern auch ihre Eltern und ihr Bruder 1 mehrfach befragt worden seien und es in den verschiedenen Anhörungen zu keinen relevanten Widersprüchen zwi- schen den Schilderungen gekommen sei, sei von der Vorinstanz nicht be- rücksichtigt worden. Es sei für die Beschwerdeführerin deshalb nicht mög- lich, nachzuvollziehen, ob die Vorinstanz die Ausführungen sämtlicher Fa- milienmitglieder zur Kenntnis genommen habe. Die Vorinstanz habe es un- terlassen, bei der Glaubhaftigkeitsprüfung eine Gesamtwürdigung vorzu- nehmen und die übereinstimmenden Aussagen sämtlicher Familienmitglie- der mit zu berücksichtigen. Die Vorinstanz nahm die Aussagen ihrer Eltern und ihres Bruders 1 zur Kenntnis. Sie führte in der angefochtenen Verfügung aus, ihre Eltern und ihr Bruder 1 hätten gleichentags wie die Beschwerdeführerin ein</w:t>
      </w:r>
    </w:p>
    <w:p>
      <w:r>
        <w:t>E-5513/2020 Seite 6 Asylgesuch gestellt und seien zu ihren Asylgründen angehört worden. Aus- serdem nimmt sie in ihrer Begründung Bezug zum Verfahren ihrer Eltern und hält fest, dass die Schilderungen ihrer Eltern zur Entführung ihres Va- ters als unglaubhaft einzustufen seien (vgl. angefochtene Verfügung S. 4). Ob die Glaubhaftigkeitsprüfung der Aussagen zutreffend ist, ist hingegen nicht eine formelle, sondern eine materielle Frage der rechtlichen Würdi- gung der Vorbringen. Eine Verletzung des rechtlichen Gehörs und der Be- gründungspflicht liegt nicht vor.</w:t>
      </w:r>
    </w:p>
    <w:p>
      <w:r>
        <w:rPr>
          <w:b/>
        </w:rPr>
        <w:t>E. 4.3</w:t>
      </w:r>
    </w:p>
    <w:p>
      <w:r>
        <w:t>Die Beschwerdeführerin rügt, der rechtserhebliche Sachverhalt sei un- vollständig und unrichtig abgeklärt worden. Die Vorinstanz habe sich nicht mit der Wirtschaftskrise und dem drohenden Kollaps des libanesischen Staates auseinandergesetzt. Die Vorinstanz hat die Vorbringen der Beschwerdeführerin vor dem Hinter- grund der (damals) herrschenden politischen Situation im Libanon geprüft. Der rechtserhebliche Sachverhalt wurde von der Vorinstanz somit richtig und vollständig festgestellt.</w:t>
      </w:r>
    </w:p>
    <w:p>
      <w:r>
        <w:rPr>
          <w:b/>
        </w:rPr>
        <w:t>E. 4.4</w:t>
      </w:r>
    </w:p>
    <w:p>
      <w:r>
        <w:t>Was den Verweis auf die Verletzung von Verfahrensrechten durch die Vorinstanz im Asylverfahren der Eltern der Beschwerdeführerin betrifft, mit dem Hinweis, dies sei für das vorliegende Verfahren relevant, da die Asyl- gründe weitgehend deckungsgleich seien und sich der Verfahrensausgang des einen Verfahrens auf das andere auswirken dürfte, so wurde im glei- chentags ergangenen Urteil ihrer Eltern (E-5511/2020) festgestellt, dass die geltend gemachten formellen Rügen unbegründet sind.</w:t>
      </w:r>
    </w:p>
    <w:p>
      <w:r>
        <w:rPr>
          <w:b/>
        </w:rPr>
        <w:t>E. 4.5</w:t>
      </w:r>
    </w:p>
    <w:p>
      <w:r>
        <w:t>Die formellen Rügen erweisen sich angesichts dieser Sachlage als un- begründet, weshalb keine Veranlassung besteht, die Verfügung aus for- mellen Gründen aufzuheben und die Sache an die Vorinstanz zurückzu- weisen. Das entsprechende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E-5513/2020 Seite 7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die Beschwerdeführerin habe über die Vorfälle, welche angeblich zu ihrer Ausreise geführt hätten, nur rudimentär und oberflächlich Bescheid ge- wusst. Obwohl sie bis zu ihrer Ausreise mit ihren Eltern und ihrem Bruder 1 in einem Haushalt gelebt habe, erstaune sehr, dass sie weder direkt noch durch Gespräche von den Bedrohungen durch die Hisbollah etwas mitbe- kommen habe. Es sei ihr nicht gelungen, das einzige Vorkommnis, welches sie angeblich selber erlebt habe, die Rückkehr ihres Vaters nach der Ent- führung, überzeugend und erlebnisbezogen zu schildern. Ihr Vorbringen, ihr Vater sei fünf Jahre nach der Flucht ihres Bruders 2 entführt worden, sei unglaubhaft. Es sei sehr unwahrscheinlich, dass die Hisbollah, hätte sie tatsächlich ein Interesse an ihrem Bruder 2 gehabt, sich fünf Jahre Zeit lasse, um zu ernsthaft bedrohlichen Massnahmen zu greifen. Ausserdem seien bereits die Schilderungen ihrer Eltern zur Entführung ihres Vaters als unglaubhaft eingestuft worden. Die Asylrelevanz ihrer Vorbringen müsse aufgrund der Unglaubhaftigkeit ihrer Aussagen nicht geprüft werden. Dies- bezüglich sei aber trotzdem anzumerken, sie habe im Zuge der Desertion und Flucht ihres Bruders 2 weder eine konkrete persönliche Bedrohung seitens der Hisbollah noch eine sonstige Verfolgung bis zu ihrer Ausreise geltend gemacht.</w:t>
      </w:r>
    </w:p>
    <w:p>
      <w:r>
        <w:rPr>
          <w:b/>
        </w:rPr>
        <w:t>E. 6.2</w:t>
      </w:r>
    </w:p>
    <w:p>
      <w:r>
        <w:t>Die Beschwerdeführerin bringt vor, ihr Vater habe sie nicht belasten wollen, weshalb er ihr nicht detailliert von den Problemen mit der Hisbollah erzählt habe. In erster Linie sei die Hisbollah an ihrem Bruder 2 interessiert. Um ihr Ziel zu erreichen, sei die Hisbollah gegen ihren Vater vorgegangen und nun gehe sie auch gegen sie (die Beschwerdeführerin) vor. Ausserdem</w:t>
      </w:r>
    </w:p>
    <w:p>
      <w:r>
        <w:t>E-5513/2020 Seite 8 habe eine Arbeitskollegin ihr gegenüber explizit angedroht, sie solle sich besser in Acht nehmen. Entsprechend habe sie begründete Furcht im Falle einer Wegweisung in den Libanon dort ernsthaften Nachteilen seitens der Hisbollah ausgesetzt zu sein. Die widerspruchsfreie und übereinstim- mende Schilderung der Geschehnisse durch sie, ihre Eltern und ihren Bru- der 1 spreche eindeutig für die Erlebnisbasiertheit ihrer Aussagen. Die Schilderungen würden auch mit den eingereichten Beweismitteln überein- stimmen. Zudem würden sie und ihre Familienangehörigen als Sunniten die Hisbollah sowohl aus politischen als auch aus religiösen Gründen ab- lehnen. Ihre Verfolgung knüpfe somit an die Zugehörigkeit zu ihrer Familie an und falle insofern unter das asylrelevante Kriterium der Zugehörigkeit zu einer bestimmten sozialen Gruppe. Sie würde die Flüchtlingseigen- schaft erfüllen und es sei ihr Asyl zu gewähren.</w:t>
      </w:r>
    </w:p>
    <w:p>
      <w:r>
        <w:rPr>
          <w:b/>
        </w:rPr>
        <w:t>E. 7.1</w:t>
      </w:r>
    </w:p>
    <w:p>
      <w:r>
        <w:t>Die Beschwerdeführerin macht geltend, die Vorinstanz habe eine flüchtlingsrechtlich relevante Reflexverfolgung aufgrund der Desertion ih- res Bruders 2 im Zeitpunkt der Ausreise zu Unrecht verneint. Die Vorinstanz hat zu Recht festgestellt, dass sie bis zu ihrer Ausreise aus ihrem Heimatstaat weder eine konkrete persönliche Bedrohung durch die Hisbollah noch eine sonstige Verfolgung geltend gemacht hat. Sie ver- neinte, im Libanon Probleme mit den Behörden gehabt zu haben (vgl. A14/13 F 77). Die einmalige Bedrohung am Arbeitsplatz stellt keine ernst- haften Nachteile im Sinne von Art. 3 Abs. 2 AsylG dar, da weder Leib und Leben noch die Freiheit der Beschwerdeführerin konkret gefährdet wurden. Nachdem im gleichentags ergehenden Urteil E-5511/2020 ihrer Eltern fest- gestellt wird, dass die Vorinstanz betreffend ihren Vater richtigerweise die Vorkommnisse von 2013 bis Mai 2018 als nicht asylrelevant und seine Ent- führung und Bedrohung durch die Hisbollah als unglaubhaft eingestuft hat, ist eine Reflexverfolgung der Beschwerdeführerin zu verneinen. Um Wie- derholungen zu vermeiden, kann auf die Erwägungen im entsprechenden Urteil verwiesen werden (vgl. a.a.O. E. 7). Die Ausführungen in der Be- schwerde und die eingereichten Beweismittel führen zu keiner anderen Be- trachtungsweise, zumal sie im Wesentlichen identisch mit jenen im Verfah- ren E-5511/2020 sind. Die Verfolgungsvorbringen der Beschwerdeführerin betreffend die Zeit vor der Ausreise aus dem Libanon halten somit weder dem Anspruch an die Glaubhaftigkeit stand, noch sind sie als flüchtlings- rechtlich relevant im Sinne von Art. 3 AsylG zu qualifizieren.</w:t>
      </w:r>
    </w:p>
    <w:p>
      <w:r>
        <w:t>E-5513/2020 Seite 9</w:t>
      </w:r>
    </w:p>
    <w:p>
      <w:r>
        <w:rPr>
          <w:b/>
        </w:rPr>
        <w:t>E. 7.2</w:t>
      </w:r>
    </w:p>
    <w:p>
      <w:r>
        <w:t>Die Beschwerdeführerin bringt weiter vor, sie habe aufgrund der Wehr- dienstverweigerung ihres Bruders 2 im Zusammenhang mit der Religions- zugehörigkeit und ihrer eigenen politischen Anschauung sowie der ihrer Familie und ihres Bruders 2 bei einer Rückkehr in den Libanon eine Re- flexverfolgung zu befürchten.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wegen eines Familienangehörigen be- gründet ist. Aus den Akten ist nicht ersichtlich, dass es sich um eine oppo- sitionell aktive Familie handeln würde. Insbesondere ergeben sich auch aus den Angaben zum Bruder 2 keine konkreten Anhaltspunkte dafür, dass Elemente vorliegen würden, die – verbunden mit seiner Wehrdienstverwei- gerung – darauf schliessen liessen, die Beschwerdeführerin würde bei ei- ner Rückkehr als Regimegegnerin betrachtet und habe aus diesem Grund mit hoher Wahrscheinlichkeit ernsthafte Nachteile zu befürchten. Sie brachte denn auch erst auf Beschwerdeebene und ohne konkrete Angaben vor, die Verfolgung sei nicht ausschliesslich eine Antwort auf die Wehr- dienstverweigerung ihres Bruders 2, sondern auf die politische und religi- öse Anschauung aller Familienmitglieder zurückzuführen. Zwar vermögen die Vorkommnisse von 2013 bis Mai 2018 ihren Vater betreffend und die Bedrohung an ihrem Arbeitsplatz eine subjektive Furcht der Beschwerde- führerin vor künftiger Verfolgung als nachvollziehbar erscheinen lassen. Aus objektiver Sicht liegen aber keine massgeblichen Hinweise dafür vor, dass die Hisbollah oder andere libanesische staatliche Instanzen aufgrund der im Jahr 2013 erfolgten Wehrdienstverweigerung ihres Bruders 2 zum heutigen Zeitpunkt ein (anhaltendes) asylrelevantes Verfolgungsinteresse an der Beschwerdeführerin hätten.</w:t>
      </w:r>
    </w:p>
    <w:p>
      <w:r>
        <w:t>E-5513/2020 Seite 10</w:t>
      </w:r>
    </w:p>
    <w:p>
      <w:r>
        <w:rPr>
          <w:b/>
        </w:rPr>
        <w:t>E. 7.3</w:t>
      </w:r>
    </w:p>
    <w:p>
      <w:r>
        <w:t>Insgesamt hat die Beschwerdeführerin weder asylrelevante Nachteile erlitten noch konnte sie eine ihr allenfalls objektiv drohende Verfolgung glaubhaft darlegen. Es besteht somit kein begründeter Anlass zur An- nahme, dass sie bei einer Rückkehr in den Libanon mit beachtlicher Wahr- scheinlichkeit oder in absehbarer Zukunft asylrelevanten Verfolgungs- massnahmen ausgesetzt sein werde. Die Vorinstanz hat die Beschwerde zu Recht abgewiesen.</w:t>
      </w:r>
    </w:p>
    <w:p>
      <w:r>
        <w:rPr>
          <w:b/>
        </w:rPr>
        <w:t>E. 8</w:t>
      </w:r>
    </w:p>
    <w:p>
      <w:r>
        <w:t>Gemäss Art. 44 AsylG verfügt das SEM in der Regel die Wegweisung aus der Schweiz, wenn es das Asylgesuch ablehnt oder nicht darauf eintritt. Die Beschwerdeführerin verfügt weder über eine ausländerrechtliche Aufent- 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der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den Libanon dort mit beachtlicher Wahrscheinlichkeit einer nach Art. 3 EMRK oder Art. 1 FoK verbotenen Strafe oder Behandlung ausgesetzt wäre. Auch die allgemeine Menschenrechtssituation im Libanon lässt den Wegweisungsvollzug zum</w:t>
      </w:r>
    </w:p>
    <w:p>
      <w:r>
        <w:t>E-5513/2020 Seite 11 heutigen Zeitpunkt nicht als unzulässig erscheinen. Der Vollzug der Weg- weisung ist zulässig.</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Die Beschwerdeführerin ist jung, gesund und arbeitsfähig. Bis zu ih- rer Ausreise lebte sie mit ihren Eltern und ihrem Bruder 1 in B._______ und hat dort die Schule besucht. Sie hat einen Bachelorabschluss in (…). Da- nach arbeitete sie (…) und gleichzeitig (…) sowie zuletzt von Januar 2018 bis zu ihrer Ausreise bei einer (…) in D._______ als (…). Gemäss ihren eigenen Angaben hat sie ihren Lebensunterhalt sehr gut bestreiten können (vgl. A14/13 F 24). Sie verfügt über zahlreiche Verwandte im Libanon. Zu- dem ist zu berücksichtigen, dass sie mit ihren Eltern und ihrem Bruder 1 in den Libanon zurückkehrt. Gemäss den Aussagen ihres Vaters sei es ihnen im Libanon finanziell gut gegangen (vgl. N […] A27/21 F 9) und gemäss den Aussagen ihres Bruders 1 gehe es den (…) ihres Vaters ebenfalls fi- nanziell gut (vgl. N […] A20/10 F 18). Demnach kann sie im Heimatstaat auf ein familiäres Beziehungsnetz zurückgreifen und – nebst der finanziel- len Unterstützung ihrer Verwandten aus der Schweiz, Deutschland, Schweden, Grossbritannien, Kanada und Saudi-Arabien – allenfalls auch direkt vor Ort finanzielle Unterstützung erhalten. Der Vollzug der Wegwei- sung erweist sich somit auch in individueller Hinsicht als zumutbar.</w:t>
      </w:r>
    </w:p>
    <w:p>
      <w:r>
        <w:rPr>
          <w:b/>
        </w:rPr>
        <w:t>E. 9.4</w:t>
      </w:r>
    </w:p>
    <w:p>
      <w:r>
        <w:t>Nach Art. 83 Abs. 2 AIG ist der Vollzug auch als möglich zu bezeichnen, weil es der Beschwerdeführerin obliegt, sich bei der zuständigen Vertre- tung ihres Heimatstaats die für eine Rückkehr notwendigen Reisedoku- 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t>E-5513/2020 Seite 12</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Angesichts der mit Zwi- schenverfügung vom 26. November 2020 gewährten unentgeltlichen Pro- zessführung werden keine Verfahrenskosten auferlegt, nachdem den Ak- ten keine Hinweise auf eine relevante Veränderung der finanziellen Ver- hältnisse zu entnehmen sind.</w:t>
      </w:r>
    </w:p>
    <w:p>
      <w:r>
        <w:rPr>
          <w:b/>
        </w:rPr>
        <w:t>E. 11.2</w:t>
      </w:r>
    </w:p>
    <w:p>
      <w:r>
        <w:t>Mit gleicher Zwischenverfügung wurde der Beschwerdeführerin die amtliche Rechtsverbeiständung gewährt. Praxisgemäss geht das Gericht bei amtlicher Vertretung von einem Stundenansatz von Fr. 100.– bis Fr. 150.– für nicht-anwaltliche Vertreterinnen aus. Vorliegend wurde keine Kostennote zu den Akten gereicht. Der Aufwand lässt sich allerdings auf- grund der Akten zuverlässig abschätzen (Art. 14 Abs. 2 VGKE). In Anwen- dung der massgeblichen Bemessungsfaktoren (vgl. Art. 8–11 VGKE) ist dem rubrizierten Rechtsvertreter vom Bundesverwaltungsgericht ein Ho- norar von Fr. 1'200.– (inkl. Auslagen) zu entrichten.</w:t>
      </w:r>
    </w:p>
    <w:p>
      <w:r>
        <w:t>(Dispositiv nächste Seite)</w:t>
      </w:r>
    </w:p>
    <w:p>
      <w:r>
        <w:t>E-5513/2020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