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E-5512/2013 vom 21. März 2014</w:t>
      </w:r>
    </w:p>
    <w:p>
      <w:r>
        <w:t>Bundesverwaltungsgericht, 2014-03-21, DE</w:t>
      </w:r>
    </w:p>
    <w:p>
      <w:r>
        <w:rPr>
          <w:b/>
        </w:rPr>
        <w:t xml:space="preserve">Quelle: </w:t>
      </w:r>
      <w:r>
        <w:t>https://mcp.opencaselaw.ch/entscheid/bvger_E-5512_2013</w:t>
      </w:r>
    </w:p>
    <w:p>
      <w:r>
        <w:t>FR: TAF E-5512/2013 du 21 mars 2014</w:t>
      </w:r>
    </w:p>
    <w:p>
      <w:r>
        <w:t>IT: TAF E-5512/2013 del 21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die Gesetzesänderung vom 14. Dezember 2012 gilt ab 1. Februar 2014 grundsätzlich auch für hängige Beschwerdeverfahren).</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Vorgehen geht auf zwei im August 2013 bekannt gewordene Vorfälle zurück, bei denen zwei abgewiesene sri-lankische Asylsuchende nach ihrer Rückkehr aus der Schweiz verhaftet worden seien. Das BFM stellte daraufhin in Aussicht, die beiden Vorfälle und die Frage einer allfälligen Veränderung der allgemeinen Situation und insbesondere die Lage der Rückkehrenden in Sri Lanka vertieft abzuklären. In diesem Zusammenhang ersuchte es das Uno-Hochkommissariat für Flüchtlinge (UNHCR), die beiden Fälle einer Qualitätsprüfung zu unterziehen und anschliessend auch die Dossiers jener Personen zu beurteilen, deren Gesuche rechtskräftig abgelehnt worden sind und die mit der Rückführung nach Sri Lanka hätten rechnen müssen. Die Vorinstanz geht damit selbst davon aus, dass der Sachverhalt, wie er der Verfügung vom 28. August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grundsätzlich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und, angesichts der seit 1. Februar 2014 geltenden Kognitionsbeschränkung der Beschwerdeinstanz (vgl. Art. 106 Abs. 1 AsylG), die Angemessenheitsüberprüfung verlöre. Die erforderlichen Abklärungen bringen eine relativ aufwändige und umfangreiche Beweiserhebung mit sich, weshalb die Kassation der angefochtenen Verfügung angezeigt ist.</w:t>
      </w:r>
    </w:p>
    <w:p>
      <w:r>
        <w:rPr>
          <w:b/>
        </w:rPr>
        <w:t>E. 3.3</w:t>
      </w:r>
    </w:p>
    <w:p>
      <w:r>
        <w:t>Die Beschwerde ist demnach gutzuheissen. Die angefochtene Verfügung ist aufzuheben und die Sache zur vollständigen Sachverhaltsfeststellung sowie zu neuer Entscheidung an die Vorinstanz zurückzuweisen. Die vorinstanzlichen Akten sowie eine Kopie der Beschwerdeschrift, welche ebenfalls Prozessstoff des vorinstanzlichen Verfahrens bilden wird, werden dem BFM zugestellt. Auf die weiteren formalen und inhaltlichen Vorbringen in der Rechtsmitteleingabe ist bei diesem Verfahrensausgang nicht weiter einzugehen.</w:t>
      </w:r>
    </w:p>
    <w:p>
      <w:r>
        <w:rPr>
          <w:b/>
        </w:rPr>
        <w:t>E. 4.1</w:t>
      </w:r>
    </w:p>
    <w:p>
      <w:r>
        <w:t>Bei diesem Ausgang des Verfahrens sind keine Kosten aufzuerlegen (vgl. Art. 63 Abs. 1 und 2 VwVG). Die Gesuche um Gewährung der unentgeltlichen Rechtspflege und um Verzicht auf die Erhebung eines Kostenvorschusses erweisen sich mit vorliegendem Entscheid somit als gegenstandslos.</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eingereichten Kosten­note ausgewiesenen zeitlichen Vertretungsaufwand von elf Stunden - unter Berücksichtigung des nach Einreichen der Kostennote entstande­nen Aufwandes - als nicht in vollen Umfang angemessen, weshalb er zu reduzieren ist. Zudem werden unter den Kosten ein Posten "Eröffnungs­pauschale", was praxisgemäss nicht entschädigt wird. Unter Berücksich­tigung der massgebenden Bemessungsfaktoren (Art. 9 ff. VGKE) sowie des Aufwandes in vergleichbaren Verfahren hat das BFM dem Be­schwerdeführer eine Parteientschädigung von Fr. 1200.- und die Aus­lagen von Fr. 67.-, insgesamt mithin Fr. 1267.-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