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E-5512/2012 vom 21. Dezember 2012</w:t>
      </w:r>
    </w:p>
    <w:p>
      <w:r>
        <w:t>Bundesverwaltungsgericht, 2012-12-21, DE</w:t>
      </w:r>
    </w:p>
    <w:p>
      <w:r>
        <w:rPr>
          <w:b/>
        </w:rPr>
        <w:t xml:space="preserve">Quelle: </w:t>
      </w:r>
      <w:r>
        <w:t>https://mcp.opencaselaw.ch/entscheid/bvger_E-5512_2012</w:t>
      </w:r>
    </w:p>
    <w:p>
      <w:r>
        <w:t>FR: TAF E-5512/2012 du 21 décembre 2012</w:t>
      </w:r>
    </w:p>
    <w:p>
      <w:r>
        <w:t>IT: TAF E-5512/2012 del 21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 nachdem eine Beschwerdeverbesserung in deutscher Sprache eingereicht wurde -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Übergriffe durch Dritte oder Befürchtungen, künftig solchen ausgesetzt zu sein, seien nur dann asylrelevant, wenn der Staat seiner Schutzpflicht nicht nachkomme oder nicht in der Lage sei, Schutz zu gewähren. Die Beschwerdeführenden machten gelten, ein ihnen namentlich bekannter Täter habe sie und ihren Sohn in Tötungsabsicht mit dem Traktor gerammt. Der Beschwerdeführer habe diesen Vorfall gleichentags bei der Polizei zur Anzeige gebracht, jedoch hätten die Beamten nichts unternommen. Drei bis vier Tage später sei es zu einer Auseinandersetzung mit dem Täter gekommen und noch am selben Tag sei die ganze Familie zu einem Freund gegangen und habe sich dort bis zur Ausreise versteckt gehalten. Aus dieser Schilderung ergebe sich einzig, dass die Polizei während drei bis vier Tagen nicht zu den Beschwerdeführenden nach Hause gekommen sei. Dieser Umstand lasse aber keineswegs den Schluss zu, dass die Polizei den Fall infolge Vetternwirtschaft nicht an die Hand genommen habe. Da die Beschwerdeführenden wenige Tage nach der Anzeigeerstattung ihren Wohnort gewechselt hätten, erstaune es nicht, dass sie in der Folge nichts von den Behörden gehört hätten. Bei dieser Sachlage wäre es an den Beschwerdeführenden gewesen, sich nach dem Stand der Ermittlungen zu erkundigen oder den Behörden zumindest ihren Umzug anzuzeigen. Dass sie dies unterlassen hätten, dürfte damit zu tun haben, dass sie nach ihrem eigenmächtigen Racheakt mit einer Anzeige wegen Körperverletzung zu rechnen gehabt hätten. Vor diesem Hintergrund könne den serbischen Polizeibehörden nicht vorgeworfen werden, sie seien nicht willens, den geltend gemachten Übergriffen entgegenzutreten. Ausserdem hätte den Beschwerdeführenden der Rechtsweg offen gestanden. Deshalb sei mangels gegenteiliger Hinweise vom Vorhandensein eines adäquaten Schutzes durch den Heimatstaat auszugehen. Es sei dabei zu berücksichtigen, dass der Schweizer Bundesrat mit Beschluss vom 6. März 2009 Serbien als verfolgungssicheren Staat im Sinne von Art. 6a Abs. 2 Bst. a AsylG bezeichnet habe, weshalb die gesetzliche Regelvermutung bestehe, dass asylrelevante staatliche Verfolgung nicht stattfinde und Schutz vor nichtstaatlicher Verfolgung gewährleistet sei. Diese relative Verfolgungssicherheit könne im Einzelfall auf Grund konkreter und substanziierter Hinweise umgestossen werden. Solch substanziierte Hinweise hätten die Beschwerdeführenden jedoch klarerweise nicht zu Protokoll gegeben, weshalb sich die geltend gemachte Bedrohung durch G._______ als nicht asylrelevant erweise. Weiter hätten die Beschwerdeführenden vorgebracht, wegen ihrer Zugehörigkeit zur Volksgruppe der Roma keinerlei Rechte zu haben. Sie hätten keine Unterstützung erhalten, als ihr Haus eingestürzt sei und der Zugang zum Gesundheitswesen sei ihnen verwehrt. Zudem würden sie auf der Strasse wegen der deutschen Abstammung der Beschwerdeführerin als Nazis beschimpft. Diese geltend gemachten schlechten Lebensbedingungen würden sich als allgemeine Nachteile und somit ebenfalls als nicht asylrelevant erweisen. Zusammenfassend erfüllten die Beschwerdeführenden die Flüchtlingseigenschaft nicht.</w:t>
      </w:r>
    </w:p>
    <w:p>
      <w:r>
        <w:rPr>
          <w:b/>
        </w:rPr>
        <w:t>E. 4.2</w:t>
      </w:r>
    </w:p>
    <w:p>
      <w:r>
        <w:t>In ihrer Rechtsmitteleingabe machten die Beschwerdeführenden geltend, ihren Asylgründen sei vom BFM nicht genügend Aufmerksamkeit geschenkt worden. Sie hätten ihr Land aus ökonomischen Gründen verlassen und da sie ihren Glauben nicht ausüben könnten. Sie würden keine Unterstützung vom Sozialamt erhalten, keine Arbeit finden und einerseits aufgrund ihrer Ethnie und andererseits aufgrund der deutschen Abstammung der Beschwerdeführerin diskriminiert. Ausserdem hätten sie gesundheitliche Probleme und würden in Serbien weder über eine Krankenversicherung noch über genügende finanzielle Mittel für eine ärztlichen Behandlung verfügen. Es sei eine Tatsache, dass ihnen die heimatliche Regierung nicht helfen werde. 5.1 Das Bundesverwaltungsgericht geht - wie nachfolgend aufgezeigt - in Übereinstimmung mit dem BFM davon aus, dass der serbische Staat grundsätzlich willens und fähig und ist, ethnischen Minderheiten einen adäquaten Schutz zu gewähren. 5.1.1 Hinsichtlich der ethnischen Minderheiten in Serbien ist festzuhalten, dass das Bundesgesetz zum Schutz und zur Freiheit der nationalen Minderheiten, welches auch für die anerkannte Minderheit der Roma Geltung beansprucht, am 25. Februar 2002 in Kraft getreten war.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trat die serbische Regierung der "Decade of Ro­ma Inclusion" bei. Dabei handelt es sich um eine internationale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Diese Initiative konzentriert sich schwergewichtig auf die Bereiche Ausbildung, Arbeit, Gesundheit und Wohnen und verpflichtet die Staaten, andere Kernaspekte der Armut, Diskriminierung und Geschlechtergleichstellung zu berücksichtigen. Serbien verabschiedete in diesem Zusammenhang vier nationale Aktionsprogramme,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 7710/2006 vom 20. Februar 2009, E-2444/2007 vom 2. Juli 2010 und E-6153/2007 vom 10. August 2011 mit weiteren Hinweisen). 5.1.2 Zusammenfassend steht fest, dass der serbische Staat grundsätzlich schutzfähig und schutzwillig ist, ethnische Minderheiten - wie Roma - vor Übergriffen durch Dritte zu schützen. Die interethnische Situation hat sich - auch in der Vojvodina, woher die Beschwerdeführenden stammen -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solche Vorfälle strafrechtlich. Die Vorbringen der Beschwerdeführenden enthalten keine konkreten Hinweise, wonach sie von den serbischen Behörden nicht adäquat hätten geschützt werden können; die Polizei hat die Anzeige des Beschwerdeführers entgegengenommen und es wäre den Beschwerdeführenden zuzumuten gewesen, die Ermittlungen der Behörden abzuwarten beziehungsweise sich nötigenfalls an eine höherrangige Behörde zu wenden. 5.2 Nach Prüfung der Akten besteht für das Bundesverwaltungsgericht somit keine Veranlassung, von der Einschätzung des BFM abzuweichen. Die Vorinstanz hat in der angefochtenen Verfügung treffend und korrekt ausgeführt, dass im vorliegenden Fall vom Vorhandensein eines adäquaten Schutzes durch den serbischen Staat auszugehen ist. Die von den Beschwerdeführern geltend gemachten Übergriffe durch Dritte, sowie auch allfällige künftig drohende Übergriffe durch Dritte sind somit nicht asylrelevant. Um Wiederholungen zu vermeiden, kann auf die zutreffenden und substanziierten Ausführungen des BFM in der Verfügung vom 15. Oktober 2012 verwiesen werden. Die in der Beschwerdeschrift geltend gemachten Vorbringen, die sich weitgehend in Wiederholungen des bereits geltend gemachten Sachverhalts erschöpfen, sind nicht geeignet, eine Änderung der vorinstanzlichen Verfügung zu bewirken. Zu stützen sind insbesondere die Erwägungen des BFM, gemäss welchen den serbischen Polizeibehörden kein Vorwurf gemacht werden könne, zumal die Beschwerdeführenden bereits wenige Tage, nachdem sie den Vorfall gemeldet hatten, ihren Wohnsitz wechselten, ohne dies zu melden. Der Auslöser für das Untertauchen der Beschwerdeführenden scheint überdies nicht der Vorfall mit dem Traktor gewesen zu sein, sondern der Racheakt gegen den Täter. Dass der Beschwerdeführer deshalb bei seiner Rückkehr möglicherweise von den Polizeibehörden belangt wird, ist nicht auszuschliessen und ist offensichtlich deren Aufgabe. Die Beschwerdeführenden vermögen daraus somit keine asylrelevante Verfolgung abzuleiten. 5.3 Das Bundesverwaltungsgericht kommt somit zum Schluss, dass die Ausführungen in der Beschwerde nicht geeignet sind, die zutreffenden Erwägungen der Vorinstanz zu entkräften, die Vorbringen der Beschwerdeführenden den Anforderungen an die Flüchtlingseigenschaft gemäss Art. 3 AsylG nicht genügen und die Asylgesuche zu Recht abgelehnt worden sind.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Unter Berücksichtigung der aktuellen politischen Lage, der Menschenrechtssituation sowie der allgemeinen Lebensumstände erweist sich eine Rückkehr nach Serbien als zumutbar. Zurzeit besteht keine Situation von Krieg, Bürgerkrieg oder allgemeiner Gewalt, aufgrund welcher eine konkrete Gefährdung der Beschwerdeführenden angenommen werden müsste. Zwar werden Angehörige der Roma beim Zugang zu Bildung, Arbeit, Wohnen und Gesundheit diskriminiert. Diese Diskriminierungen erreichen indessen nicht ein Ausmass, das den Vollzug der Wegweisung allgemein als unzumutbar erscheinen liesse.</w:t>
      </w:r>
    </w:p>
    <w:p>
      <w:r>
        <w:rPr>
          <w:b/>
        </w:rPr>
        <w:t>E. 7.4.2</w:t>
      </w:r>
    </w:p>
    <w:p>
      <w:r>
        <w:t>Der Wegweisungsvollzug kann sich aus medizinischen Gründen als unzumutbar gemäss Art. 83 Abs. 4 AuG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Entscheidungen und Mitteilungen der Schweizerischen Asylrekurskommission [EMARK] 2001 Nr. 16 E. 6b S. 123, EMARK 2003 Nr. 24 E. 5a und 5b S. 157 f.). Der Beschwerdeführer hat laut seinen Angaben (...). Gemäss Entlassungsbericht des Krankenhauses H._______ vom 20. Januar 2011 leidet er unter anderem unter (...), weshalb ihm verschiedene Medikamente verschrieben wurden. Er habe sich auch in I._______ ärztlich untersuchen lassen, entsprechende Berichte wurden jedoch nicht eingereicht. Aufgrund der Aktenlage ist somit übereinstimmend mit der Vorinstanz davon auszugehen, dass seine gesundheitlichen Beschwerden kein Wegweisungshindernis darstellen. Die Beschwerdeführerin macht geltend, (...) zu haben. Gemäss der eingereichten Befundmappe des Krankenhauses H._______ wurde im Dezember 2010 bei ihr (...) diagnostiziert, welche mit (...) therapiert wurde. Ausserdem wurde (...). Diesbezüglich liegen jedoch keine weiteren Berichte vor. Sie macht diesbezüglich nichts geltend, weshalb davon ausgegangen wird, dass diese Probleme nicht mehr aktuell sind. In den beiden jüngsten Berichten vom 7. Und 10. September 2012 wurde eine (...) diagnostiziert. Die Ursache dafür sei möglicherweise (...). Zusätzlich wurde (...), diagnostiziert. Weiter erlitt sie gemäss einem Bericht vom 14. August 2012 ein (...), für welches ihr Schmerzmittel verschrieben wurden. Auch ihre anderen Beschwerden sind gemäss ärztlichen Berichten medikamentös behandelbar. Das BFM argumentierte in seiner Verfügung, eine rein medikamentöse Behandlung sei im Heimatland ohne Weiteres möglich. Da zudem der Zugang zu medizinischer Versorgung in Serbien auch für Personen gewährleistet sei, die über keine Arbeit verfügten, stehe einer weitergehenden Behandlung der Beschwerdeführenden im Falle einer Rückkehr nichts entgegen. Die diesbezüglichen Erwägungen der Vorinstanz erweisen sich als korrekt und nachvollziehbar. Die gesundheitliche Beeinträchtigungen der Beschwerdeführenden sind nach dem Gesagten nicht als gravierend zu beurteilen. Bei einer Rückkehr ist es ihnen zuzumuten, auf die in Serbien bestehende medizinische Infrastruktur zurückzugreifen, welche eine Therapie ihrer Beschwerden zulässt. Zwar haben Roma in Serbien verschiedenen Quellen zufolge nur beschränkt Zugang zu medizinischer Versorgung. Dies hängt jedoch hauptsächlich damit zusammen, dass sie oft weder über Dokumente noch eine feste Wohnsitzadresse verfügen (vgl. ERRC, a.a.O., Ziff. 29 f.; Urteil des Bundesverwaltungsgerichts E-2444/2007 vom 2. Juli 2010 mit weiteren Hinweisen). Dies dürfte jedoch auf die Beschwerdeführenden nicht zutreffen, besitzen sie doch Reisepässe. Zudem hat die serbische Regierung jüngst 45 Roma-Gesundheitsmediatoren eingestellt (ERRC, a.a.O., Ziff. 29 f.). Dass die Beschwerdeführenden in der Vergangenheit Zugang zum Gesundheitssystem hatten, wird im Weiteren durch die eingereichten ärztlichen Atteste belegt. Zudem steht es ihnen frei, bei der kantonalen Rückkehrberatungsstelle medizinische Rückkehrhilfe zu beantragen (Art. 93 AsylG i.V.m. Art. 75 der Asylverordnung 2 über Finanzierungsfragen vom 11. August 1999 [AsylV 2, SR 142.312]). Es ist demnach nicht davon auszugehen, die gesundheitlichen Probleme der Beschwerdeführenden würden im Falle einers Vollzugs der Wegweisung nach Serbien mangels ausreichender medizinischer Behandlungsmöglichkeiten eine drastische Verschlechterung ihres Gesundheitszustandes nach sich ziehen.</w:t>
      </w:r>
    </w:p>
    <w:p>
      <w:r>
        <w:rPr>
          <w:b/>
        </w:rPr>
        <w:t>E. 7.4.3</w:t>
      </w:r>
    </w:p>
    <w:p>
      <w:r>
        <w:t>Ferner liegen keine weiteren individuellen Gründe vor, welche gegen die Zumutbarkeit des Wegweisungsvollzugs nach Serbien sprechen könnten. Die Beschwerdeführenden verfügen zwar nur über eine geringe Schulbildung und bestritten ihren Lebensunterhalt durch (...) (vgl. vorinstanzliche Akten A4 S. 4). Dies vermag allerdings noch keine Unzumutbarkeit zu begründen. Im Weiteren haben die Beschwerdeführenden einen Sohn und eine Schwiegertochter, die mit ihnen in der Schweiz um Asyl nachgesucht haben und deren Gesuche ebenfalls erstinstanzlich abgewiesen worden sind, wobei ihre Beschwerde noch hängig ist. Ihre zwei in J._______ wohnhaften Töchter (vgl. A4 S. 6) werden sie nach einer Rückkehr, sofern notwendig, finanziell unterstützen können. Nach dem Gesagten ist es den Beschwerdeführenden - trotz der wirtschaftlich schwierigen Lage in Serbien, insbesondere für Angehörige der Ethnie der Roma - zuzumuten, eine neue Lebensgrundlage aufzubauen. Der Vollzug der Wegweisung erweist sich somit auch als zumutbar.</w:t>
      </w:r>
    </w:p>
    <w:p>
      <w:r>
        <w:rPr>
          <w:b/>
        </w:rPr>
        <w:t>E. 7.5</w:t>
      </w:r>
    </w:p>
    <w:p>
      <w:r>
        <w:t>Schliesslich verfügen die Beschwerdeführenden über gültige Reisepässe; ungeachtet dessen obliegt es grundsätzlich ihnen,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