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E-5511/2016 vom 20. Oktober 2016</w:t>
      </w:r>
    </w:p>
    <w:p>
      <w:r>
        <w:t>Bundesverwaltungsgericht, 2016-10-20, DE</w:t>
      </w:r>
    </w:p>
    <w:p>
      <w:r>
        <w:rPr>
          <w:b/>
        </w:rPr>
        <w:t xml:space="preserve">Quelle: </w:t>
      </w:r>
      <w:r>
        <w:t>https://mcp.opencaselaw.ch/entscheid/bvger_E-5511_2016</w:t>
      </w:r>
    </w:p>
    <w:p>
      <w:r>
        <w:t>FR: TAF E-5511/2016 du 20 octobre 2016</w:t>
      </w:r>
    </w:p>
    <w:p>
      <w:r>
        <w:t>IT: TAF E-5511/2016 del 20 ottobre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3.2</w:t>
      </w:r>
    </w:p>
    <w:p>
      <w:r>
        <w:t>Wer um die Erteilung einer Einreisebewilligung zum Zweck des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4</w:t>
      </w:r>
    </w:p>
    <w:p>
      <w:r>
        <w:t>Als "Conditio sine qua non" der Konzeption des Familienasyls gilt die Voraussetzung, dass zum Zeitpunkt der Flucht eine Familiengemeinschaft bestanden haben muss (BVGE 2012/32 E. 5, Urteil des BVGer E-7057/2014 vom 31. August 2015 E. 4.3.2, D-6842/2011 vom 22. Mai 2012 E. 4.1; Botschaft). Vorliegend fehlt es bereits an einer solchen, sodass die weiteren Voraussetzungen (Trennung durch die Flucht sowie fest beabsichtigte Wiedervereinigung der Familie) nicht zu prüfen sind. Die Vorinstanz hat richtig erkannt, dass es dem Beschwerdeführer weder gelungen ist eine im Zeitpunkt der Flucht vorbestandene Familiengemeinschaft zu beweisen noch glaubhaft zu machen. So reichte er trotz expliziter Aufforderung seitens der Vorinstanz (SEM-Akten, B3, S. 1) - ausser zwei Passfotos seiner angeblichen Frau - keine entsprechenden Dokumente ein. Es gelang ihm auch nicht, einschlägige Fotos eines Familienlebens in Eritrea beizubringen. Seine Erklärungen, weshalb ihm all dies nicht möglich sein soll, sind unglaubhaft und wurden von der Vorinstanz zutreffend gewürdigt (angefochtene Verfügung S. 4). Schliesslich hat der Beschwerdeführer mit der Einreichung seines Gesuchs um Familienasyl weit über vier Jahre zugewartet, was das Fehlen einer "Familiengemeinschaft" untermauert. Hieran vermögen die weitschweifigen Beschwerdeausführungen nichts zu ändern. Es gelingt der Beschwerde mithin nicht aufzuzeigen, inwiefern die vorinstanzliche Beweiswürdigung Bundesrecht verletzt oder zu einer rechtsfehlerhaften Sachverhaltsfeststellung führen soll. Solches ist auch nicht ersichtlich. Um Wiederholungen zu vermeiden, ist auf die ausführlichen Ausführungen der Vorinstanz zu verweisen, die zu Recht die Erteilung der Einreisebewilligung verweigert und das Gesuch um Familienasyl abgelehnt hat.</w:t>
      </w:r>
    </w:p>
    <w:p>
      <w:r>
        <w:rPr>
          <w:b/>
        </w:rPr>
        <w:t>E. 5</w:t>
      </w:r>
    </w:p>
    <w:p>
      <w:r>
        <w:t>Folglich ist festzustellen, dass die angefochtene Verfügung Bundesrecht nicht verletzt und auch sonst nicht zu beanstanden ist. Die Beschwerde ist abzuweisen.</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