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E-550/2021 vom 18. März 2021</w:t>
      </w:r>
    </w:p>
    <w:p>
      <w:r>
        <w:t>Bundesverwaltungsgericht, 2021-03-18, DE</w:t>
      </w:r>
    </w:p>
    <w:p>
      <w:r>
        <w:rPr>
          <w:b/>
        </w:rPr>
        <w:t xml:space="preserve">Quelle: </w:t>
      </w:r>
      <w:r>
        <w:t>https://mcp.opencaselaw.ch/entscheid/bvger_E-550_2021</w:t>
      </w:r>
    </w:p>
    <w:p>
      <w:r>
        <w:t>FR: TAF E-550/2021 du 18 mars 2021</w:t>
      </w:r>
    </w:p>
    <w:p>
      <w:r>
        <w:t>IT: TAF E-550/2021 del 18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ihrer Verfügung aus, im Rahmen von Krieg oder Situationen allgemeiner Gewalt erlittene Nachteile würden keine flüchtlingsrechtlich relevante Verfolgung darstellen, soweit sie nicht auf der Absicht beruhten, einen Menschen aus einem der in Art. 3 Abs. 1 AsyIG erwähnten Gründe zu treffen. Die von den Beschwerdeführenden erwähnte schlechte Sicherheitslage und prekären Lebensbedingungen im Zusammenhang mit den Kampfhandlungen zwischen verschiedenen Bürgerkriegsparteien seien Folgen der allgemeinen wirtschaftlichen, sozialen und politischen Lage in Syrien, von welchen die Mehrheit ihrer Landsleute vor Ort betroffen sei; diese Vorbringen vermöchten keine Asylrelevanz im Sinne des Asylgesetzes zu entfalten. Auch die von der PYD an sie gestellten Forderungen seien aufgrund ihrer Art und Intensität nicht als Nachteile im Sinne von Art. 3 AsylG zu bewerten. Bei den Rekrutierungsbemühungen der YPG respektive PYD betreffend die Töchter handle es sich nicht um eine gezielte Verfolgung der Beschwerdeführenden im Sinne von Art. 3 Abs. 1 AsylG. Ohnehin sei praxisgemäss nicht davon auszugehen, dass eine Verweigerung des Militärdienstes für die YPG flüchtlingsrechtlich relevanten Sanktionen nach sich ziehe. Den konsultierten Verfahrensakten der ebenfalls in die Schweiz geflüchteten Kinder der Beschwerdeführenden liessen sich keine Hinweise darauf entnehmen, dass sie aufgrund von deren Aktivitäten beziehungsweise geltend gemachten Fluchtgründen flüchtlingsrechtlich relevanten Nachteilen im Sinne des Asyl-gesetzes ausgesetzt gewesen wären oder solche Nachteile bei einer Rückkehr in den Heimatstaat zu gewärtigen hätten. Somit sei vorliegend auch eine begründete Furcht vor einer Reflexverfolgung zu verneinen.</w:t>
      </w:r>
    </w:p>
    <w:p>
      <w:r>
        <w:rPr>
          <w:b/>
        </w:rPr>
        <w:t>E. 5.2</w:t>
      </w:r>
    </w:p>
    <w:p>
      <w:r>
        <w:t>Nach Prüfung der Akten gelangt das Gericht zum Schluss, dass die Einschätzung der Vorinstanz vollumfänglich zu bestätigen ist. Die Ausführungen in der Beschwerdeeingabe vermögen keine andere Bewertung zu rechtfertigen.</w:t>
      </w:r>
    </w:p>
    <w:p>
      <w:r>
        <w:rPr>
          <w:b/>
        </w:rPr>
        <w:t>E. 5.2.1</w:t>
      </w:r>
    </w:p>
    <w:p>
      <w:r>
        <w:t>Die Beschwerdeführenden begründeten ihren Ausreisentschluss im Wesentlichen mit den erlebten Kampfhandlungen und prekären Lebensbedingungen in ihrer Herkunftsregion. Wie die Vorinstanz zu Recht feststellte, handelt es sich jedoch um generelle Auswirkungen der Bürgerkriegssituation in Syrien die nicht als gezielte Nachteile im Sinne von Art. 3 AsylG qualifiziert werden können. Auch unter Berücksichtigung der veränderten Lage seit dem Einmarsch der türkischen Truppen in Nordsyrien ist nicht davon auszugehen, dass sämtliche in Syrien und insbesondere in Nordsyrien verbliebenen Kurden derzeit eine objektiv begründete Furcht vor Verfolgung im Sinne von Art. 3 AsylG haben (vgl. z.B. Urteil des BVGer D-6344/2018 vom 26. Mai 2020 E. 5.4 mit weiteren Hinweisen). Die Argumentation, die Situation in E._______ habe sich seit 2018 erheblich verschlechtert, erweist sich deshalb in asylrechtlicher Hinsicht als nicht stichhaltig.</w:t>
      </w:r>
    </w:p>
    <w:p>
      <w:r>
        <w:rPr>
          <w:b/>
        </w:rPr>
        <w:t>E. 5.2.2</w:t>
      </w:r>
    </w:p>
    <w:p>
      <w:r>
        <w:t>Eine Furcht der Beschwerdeführenden vor Reflexverfolgung wegen des Profils ihrer in der Schweiz als Flüchtlinge anerkannten beziehungsweise vorläufig aufgenommenen Kinder ist ebenfalls zu verneinen. Aus ihren Schilderungen geht nicht hervor, dass sie vor ihrer Ausreise Verfolgungsmassnahmen asylrechtlich relevanten Ausmasses wegen dieser Familienangehörigen ausgesetzt waren, und es liegen keine stichhaltigen Anhaltspunkte dafür vor, dass im heutigen Zeitpunkt von einer entsprechenden Gefährdung auszugehen wäre. Es kann in diesem Zusammenhang auf die Erwägungen in Urteilen des Bundesverwaltungsgerichts betreffend mehrere Kinder der Beschwerdeführenden verwiesen werden (vgl. das Urteil des BVGer E-1167/2020, E-1205/2020, E-1240/2020 und E-1241/2020 vom 20. März 2020 E. 8.5 unter Hinweis auf BVGer E-3517/2019 vom 26. November 2019 E. 8.3).</w:t>
      </w:r>
    </w:p>
    <w:p>
      <w:r>
        <w:rPr>
          <w:b/>
        </w:rPr>
        <w:t>E. 5.2.3</w:t>
      </w:r>
    </w:p>
    <w:p>
      <w:r>
        <w:t>Entgegen der Auffassung der Beschwerdeführenden kann aus dem Umstand, dass ihnen von den schweizerischen Migrationsbehörden Visa aus humanitären Gründen gemäss Art. 4 Abs. 2 der Verordnung über die Einreise und die Visumerteilung (VEV; SR 142.204) zur Einreise in die Schweiz ausgestellt wurden, nicht auf die Anerkennung einer asylrelevanten Gefährdung geschlossen werden, da für die Zuerkennung der Flüchtlingseigenschaft und Asylgewährung gemäss Art. 3 AsylG andere Kriterien gelten.</w:t>
      </w:r>
    </w:p>
    <w:p>
      <w:r>
        <w:rPr>
          <w:b/>
        </w:rPr>
        <w:t>E. 5.2.4</w:t>
      </w:r>
    </w:p>
    <w:p>
      <w:r>
        <w:t>Schliesslich vermag auch der Verweis der Beschwerdeführenden auf ihre (mit mehreren ärztlichen Berichten belegten) gesundheitlichen Probleme und auf ihre unbefriedigende Wohnsituation in der Schweiz keine Asylgewährung zu rechtfertigen. Dem gesundheitlichen Aspekt wurde mit der Gewährung der vorläufigen Aufnahme wegen Unzumutbarkeit des Wegweisungsvollzugs adäquat Rechnung getragen. Die Unterbringung der Beschwerdeführenden in der Schweiz fällt in die Zuständigkeit der kantonalen Behörden fällt und steht in keinem Zusammenhang zu der im vorliegenden Verfahren zu prüfenden Frage einer Gefährdung im Heimatstaat.</w:t>
      </w:r>
    </w:p>
    <w:p>
      <w:r>
        <w:rPr>
          <w:b/>
        </w:rPr>
        <w:t>E. 5.2.5</w:t>
      </w:r>
    </w:p>
    <w:p>
      <w:r>
        <w:t>Im Sinne einer Klarstellung ist abschliessend festzuhalten, dass sich aus den vorstehenden Erwägungen nicht der Schluss ergibt, die Beschwerdeführenden seien in Syrien nicht gefährdet. Indessen ist ihre Gefährdungslage ausschliesslich unter dem Aspekt von Art. 83 Abs. 4 des Ausländer- und Integrationsgesetzes (AIG, SR 142.20) einzuordnen, wonach der Vollzug der Wegweisung für Ausländerinnen und Ausländer unzumutbar ist, wenn sie im Heimat- oder Herkunftsstaat aufgrund von Situationen wie Krieg, Bürgerkrieg, allgemeiner Gewalt und medizinischer Notlage konkret gefährdet sind. Deswegen das SEM angeordneten vorläufigen Aufnahmen bleiben von vorliegendem Entscheid unberührt und treten mit dem heutigen Urteil formell in Kraft.</w:t>
      </w:r>
    </w:p>
    <w:p>
      <w:r>
        <w:rPr>
          <w:b/>
        </w:rPr>
        <w:t>E. 5.2.6</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Da das SEM in seiner Verfügung vom 8. Januar 2021 die vorläufige Aufnahme der Beschwerdeführenden in der Schweiz angeordnet hat,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