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E-5509/2019 vom 6. Dezember 2019</w:t>
      </w:r>
    </w:p>
    <w:p>
      <w:r>
        <w:t>Bundesverwaltungsgericht, 2019-12-06, DE</w:t>
      </w:r>
    </w:p>
    <w:p>
      <w:r>
        <w:rPr>
          <w:b/>
        </w:rPr>
        <w:t xml:space="preserve">Quelle: </w:t>
      </w:r>
      <w:r>
        <w:t>https://mcp.opencaselaw.ch/entscheid/bvger_E-5509_2019</w:t>
      </w:r>
    </w:p>
    <w:p>
      <w:r>
        <w:t>FR: TAF E-5509/2019 du 6 décembre 2019</w:t>
      </w:r>
    </w:p>
    <w:p>
      <w:r>
        <w:t>IT: TAF E-5509/2019 del 6 dicembre 2019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750.- werden der Beschwerdeführerin auferlegt. Der einbezahlte Kostenvorschuss wird zur Bezahlung der Verfahrenskosten verwendet.</w:t>
      </w:r>
    </w:p>
    <w:p>
      <w:r>
        <w:rPr>
          <w:b/>
        </w:rPr>
        <w:t>E. 3</w:t>
      </w:r>
    </w:p>
    <w:p>
      <w:r>
        <w:t>Dieses Urteil geht an die Beschwerdeführerin, das SEM und die kantonale Migrationsbehörde. Die Einzelrichterin: Die Gerichtsschreiberin: Christa Luterbacher Sandra Bodenmann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