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E-5509/2011 vom 22. November 2011</w:t>
      </w:r>
    </w:p>
    <w:p>
      <w:r>
        <w:t>Bundesverwaltungsgericht, 2011-11-22, DE</w:t>
      </w:r>
    </w:p>
    <w:p>
      <w:r>
        <w:rPr>
          <w:b/>
        </w:rPr>
        <w:t xml:space="preserve">Quelle: </w:t>
      </w:r>
      <w:r>
        <w:t>https://mcp.opencaselaw.ch/entscheid/bvger_E-5509_2011</w:t>
      </w:r>
    </w:p>
    <w:p>
      <w:r>
        <w:t>FR: TAF E-5509/2011 du 22 novembre 2011</w:t>
      </w:r>
    </w:p>
    <w:p>
      <w:r>
        <w:t>IT: TAF E-5509/2011 del 22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FRITZ GYGI, Bundesverwaltungsrechtspflege, 2. Aufl., Bern 1983, S. 61), ist zugunsten der Beschwerdeführerin davon auszugehen, dass die am 26. September 2011 bei der schweizerischen Vertretung in Colombo eingegangene Beschwerde rechtzeitig erfolgt ist.</w:t>
      </w:r>
    </w:p>
    <w:p>
      <w:r>
        <w:rPr>
          <w:b/>
        </w:rPr>
        <w:t>E. 1.3</w:t>
      </w:r>
    </w:p>
    <w:p>
      <w:r>
        <w:t>Die Amtssprachen des Bundes sind das Deutsche, Französische und Italienische (vgl. Art. 70 Abs. 1 der Bundesverfassung der Schweizeri­schen Eidgenossenschaft vom 18. April 1999 [BV, SR 101]). Aus prozess­ökonomischen Gründen wird vorliegend auf eine Rückweisung der englischsprachigen Beschwerde zur Übersetzung in eine Amtssprache ver­zichtet, da die gestellten und hinreichend begründeten Rechtsbegehren verständlich sind.</w:t>
      </w:r>
    </w:p>
    <w:p>
      <w:r>
        <w:rPr>
          <w:b/>
        </w:rPr>
        <w:t>E. 1.4</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führt das BFM zunächst aus, auf eine Anhörung könne verzichtet werden, wenn der Sachverhalt bereits aufgrund der schriftlichen Eingaben erstellt sei. Diesfalls sei dem Betroffenen indes das rechtliche Gehör zu gewähren. Vorliegend sei der Be­schwerdeführerin mit Schreiben vom 28. April 2010 das rechtliche Gehör gewährt worden. Indes habe sie nicht geantwortet, weshalb der Sachverhalt als rechtsgenüglich erstellt gelte. Zur Begründung der Verweigerung der Einreisebewilligung und zur Ableh­nung des Asylgesuchs führte die Vorinstanz aus, obschon die einmona­tige Festnahme des Sohnes unrechtmässig gewesen sei, diene das schweizerische Asylrecht nicht dem Ausgleich erlittenen Unrechts. Inso­fern vermöge diese Inhaftierung zum heutigen Zeitpunkt keine Asylgewährung beziehungsweise Einreisebewilligung zu begründen. Sie liege zudem inzwischen bereits mehr als drei Jahre zurück. Seither mache die Beschwerdeführerin keine konkreten Probleme mit den srilankischen Behörden mehr geltend. Ihre Vorbringen seien vielmehr vor dem Hintergrund der allgemein angespannten Situation zu betrachten, welche während des damaligen Bürgerkrieges geherrscht habe. Heute stelle sich die Situation anders dar. Die Sicherheits- und Menschenrechtslage sei noch nicht in allen Teilen des Landes zufriedenstellend, doch seien die Anzahl der Gewaltereignisse markant zurückgegangen. Hinzu komme, dass die Beschwerdeführerin auf das Schreiben des BFM vom 28. April 2010 nicht geantwortet und damit die Gelegenheit, sich zu ihrer aktuellen Situation zu äussern, nicht genutzt habe. Dies sei als Indiz dafür zu werten, dass sie und ihre Kinder im heutigen Zeitpunkt nicht gefährdet seien.</w:t>
      </w:r>
    </w:p>
    <w:p>
      <w:r>
        <w:rPr>
          <w:b/>
        </w:rPr>
        <w:t>E. 5.2</w:t>
      </w:r>
    </w:p>
    <w:p>
      <w:r>
        <w:t>In der Rechtsmitteleingabe führt die Beschwerdeführerin aus, das Schreiben vom 28. April 2010 sei ihr gestohlen worden. Sodann sei ihr zweiter Sohn am 14. Juli 2009 von Unbekannten entführt und anschliessend erschossen worden. Eine ihrer Töchter sei bei einem Verkehrsunfall verletzt worden. Sie werde nach wie vor telefonisch bedroht. Aus diesen Gründen würden sie und ihre Kinder in Angst leben. Die Nächte würden sie bei Freunden oder Nachbarn verbringen. Sie habe niemanden, der ihr helfen könne.</w:t>
      </w:r>
    </w:p>
    <w:p>
      <w:r>
        <w:rPr>
          <w:b/>
        </w:rPr>
        <w:t>E. 5.3.1</w:t>
      </w:r>
    </w:p>
    <w:p>
      <w:r>
        <w:t>Vorweg ist festzustellen, dass das BFM in casu den Sachverhalt in Beachtung der Rechtsprechung des Bundesverwaltungsgerichts (vgl. BVGE 2007/30) festgestellt hat. Soweit die Beschwerdeführerin in der Rechtsmitteleingabe geltend macht, ihr sei das Schreiben vom 28. April 2010 gestohlen worden, weshalb sie die Korrespondenz nicht habe weiterführen können, so vermag sie aus diesem Erklärungsversuch nichts zu ihren Gunsten abzuleiten. Hätte sie ein ernsthaftes Interesse an einer Einreisebewilligung in die Schweiz gehabt, hätte sie sich wohl ohne weiteres - wie bereits in der Vergangenheit - an die Schweizerische Botschaft in Colombo gewendet, den Verlust gemeldet und um nochmalige Zustellung des Schreibens ersucht.</w:t>
      </w:r>
    </w:p>
    <w:p>
      <w:r>
        <w:rPr>
          <w:b/>
        </w:rPr>
        <w:t>E. 5.3.2</w:t>
      </w:r>
    </w:p>
    <w:p>
      <w:r>
        <w:t>Das Bundesverwaltungsgericht wie auch das BFM anerkennen, dass die allgemeine Situation für die Tamilen, insbesondere im Norden und Osten Sri Lankas, während des langjährigen Bürgerkriegs sehr schwierig war. Namentlich gab es eine Vielzahl von Gewaltereignissen, Entführungen und "Killings". Insoweit bedauert das Gericht, dass die Beschwerdeführerin in der Vergangenheit mehrere Verwandte, insbesondere ihre beiden Söhne, verloren hat. Allerdings stehen diese tragischen Vorkommnisse in Zusammenhang mit der damaligen Bürgerkriegssituation in Sri Lanka, weshalb die Beschwerdeführerin daraus im Hinblick auf eine Bewilligung für die Einreise in die Schweiz nichts zur ihren Gunsten abzuleiten vermag. Was sodann die über Jahre hinweg geltend gemachten Drohungen anbelangt, ist festzustellen, dass der Beschwerdeführerin daraus offensichtlich nichts Nachteiliges widerfahren ist. Hinzu kommt, dass solchen Belästigungen bereits aufgrund mangelnder Intensität kein Verfolgungscharakter im Sinne von Art. 3 AsylG zuzusprechen ist. Schliesslich steht es der Beschwerdeführerin offen und ist ihr auch zumutbar, sich diesen lokalen Belästigungen durch unbekannte Dritte durch einen innerstaatlichen Wohnortwechsel zu entziehen. Im Weiteren ist festzuhalten, dass sich die allgemeine Sicherheitslage in Sri Lanka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der Beschwerdeführerin bisher nichts Nachteiliges im Sinne von Art. 3 AsylG widerfahren ist, ist davon auszugehen, dass sie in ihrer Heimatregion keine asylrelevanten Verfolgungsmassnahmen zu befürchten hat. Sodann genügt allein die Angst vor einer allfällig künftig möglichen Bedrohung nicht, um auf das Vorliegen einer begründeten Furcht vor künftiger Verfolgung zu schliessen. Und schliesslich ist auch eine sozial sowie wirtschaftlich schwierige Lebenssituation, wie sie die Beschwerdeführerin geltend macht, unter dem Blickwinkel des Asylrechts nicht relevant.</w:t>
      </w:r>
    </w:p>
    <w:p>
      <w:r>
        <w:rPr>
          <w:b/>
        </w:rPr>
        <w:t>E. 5.4</w:t>
      </w:r>
    </w:p>
    <w:p>
      <w:r>
        <w:t>Der Beschwerdeführerin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ihr deshalb zumutbar. Das BFM hat dem­nach der Beschwerdeführerin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