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E-5508/2013 vom 3. Oktober 2013</w:t>
      </w:r>
    </w:p>
    <w:p>
      <w:r>
        <w:t>Bundesverwaltungsgericht, 2013-10-03, DE</w:t>
      </w:r>
    </w:p>
    <w:p>
      <w:r>
        <w:rPr>
          <w:b/>
        </w:rPr>
        <w:t xml:space="preserve">Quelle: </w:t>
      </w:r>
      <w:r>
        <w:t>https://mcp.opencaselaw.ch/entscheid/bvger_E-5508_2013</w:t>
      </w:r>
    </w:p>
    <w:p>
      <w:r>
        <w:t>FR: TAF E-5508/2013 du 3 octobre 2013</w:t>
      </w:r>
    </w:p>
    <w:p>
      <w:r>
        <w:t>IT: TAF E-5508/2013 del 3 ottobre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Die eingereichte Beschwerde ist formgerecht (Art. 52 VwVG). Die Beschwerdeführenden haben die Eingabe vom 17. September 2013 (Poststempel: 18. September 2013) an die ehemals gültige Adresse des Bundesverwaltungsgerichts in Bern gesendet. Massgebend für die Einhaltung der Beschwerdefrist ist die Übergabe der Eingabe spätestens am letzten Tag zu Handen der schweizerischen Post (Art. 21 Abs.1 VwVG). Es ist daher nicht zum Nachteil der Beschwerdeführenden, dass sie die Beschwerde zunächst an eine unzutreffenden Adresse eingereicht haben und diese ihnen in der Folge von der Post retourniert wurde. Die Beschwerde ist daher fristgereicht eingereicht (Art. 108 Abs. 2 AsylG). Auf die Beschwerde ist einzutreten.</w:t>
      </w:r>
    </w:p>
    <w:p>
      <w:r>
        <w:rPr>
          <w:b/>
        </w:rPr>
        <w:t>E. 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4.3</w:t>
      </w:r>
    </w:p>
    <w:p>
      <w:r>
        <w:t>Die Vorinstanz lehnt die Asylgesuche ab, da die Vorbringen der Beschwerdeführenden weder den Anforderungen an das Glaubhaftmachen gemäss Art. 7 noch denjenigen an die Flüchtlingseigenschaft gemäss Art. 3 AsylG standhalten. Aus den drei eingereichten Urteilen würden sich keine Hinweise darauf ergeben, dass die Verfahren in erster und zweiter Instanz nicht korrekt durchgeführt worden seien. Der Beschwerdeführer sei von einem Anwalt begleitet gewesen, die Untersuchungshaft ordentlich überprüft und für korrekt beurteilt worden. Sodann habe das Gericht die Beweise und Zeugenaussagen im Urteil gewürdigt und der Beschwerdeführer habe Beschwerde gegen den Entscheid führen können. Gemäss dem Urteil sei der Beschwerdeführer für schuldig befunden worden, den Bruder F._______ mit der Veröffentlichung von kompromittierenden Aufnahmen auf youtoube erpresst zu haben. Es würde keine Veranlassung bestehen, an den Erwägungen im Urteil des mazedonischen Gerichts zu zweifeln. Es widerspreche jedenfalls aber der allgemeinen Erfahrung, dass F._______ den Beschwerdeführer mit Videoaufnahmen erpresst haben soll, die F._______ selbst, und nicht den Beschwerdeführer, belasten. Es sei somit nicht glaubhaft, dass der Beschwerdeführer zu Unrecht verurteilt worden sei. Sodann sei die Sache von den zuständigen Behörden in Mazedonien untersucht und von zwei Gerichtsinstanzen beurteilt worden. Der Beschwerdeführer habe nicht überzeugend dazutun vermögen, wie es unter diesen Umständen zu einer Falschverurteilung gekommen sei. Der Einwand, es sei Korruption im Spiel gewesen, basiere auf einer blossen Vermutung. Auch die diesbezügliche Erklärung, er habe es von einem Neffen erfahren, der bei der Polizei arbeite, vermöge nicht zu überzeugen. Es sei unwahrscheinlich, dass konkrete Korruptionsvorgänge innerhalb der Polizei weiterverbreitet oder gar nach aussen getragen würden. Darüber hinaus äussere sich der Beschwerdeführer diesbezüglich unvereinbar. Die Verurteilung des Beschwerdeführers zu einer Haftstrafe stelle eine Massnahme dar, die dem legitimen Zweck diene, Straftatbestände zu ahnden. Sie sei daher nicht asylrelevant. Was die Rückbezahlung der Kinderzulagen anbelange, so sei nachträglich festgestellt worden, dass die Beschwerdeführerin die Voraussetzungen nicht erfülle. Auch hierbei handle es sich um eine legitime Massnahme. Was die Provokationen durch die Brüder des Beschwerdeführers anbelange, so handle es sich dabei um Übergriffe seitens privater Drittpersonen, welche nicht asylrelevant seien. Der Beschwerdeführer könne sich an die heimatlichen Behörden wenden und um Schutz ersuchen.</w:t>
      </w:r>
    </w:p>
    <w:p>
      <w:r>
        <w:rPr>
          <w:b/>
        </w:rPr>
        <w:t>E. 4.4</w:t>
      </w:r>
    </w:p>
    <w:p>
      <w:r>
        <w:t>Die Beschwerdeführenden beantragen eine Fristerstreckung zur Einreichung der Begründung der Beschwerde, weil es sich um "einen sehr komplizierten und vielschichtigen Sachverhalt" handle und sie einen Anwalt kontaktieren müssten. Rechtsmittelfristen sind gesetzliche Fristen. Gemäss Art. 22 Abs. 1 VwVG kann eine gesetzliche Frist nicht erstreckt werden. Der Antrag ist daher abzuweisen.</w:t>
      </w:r>
    </w:p>
    <w:p>
      <w:r>
        <w:rPr>
          <w:b/>
        </w:rPr>
        <w:t>E. 4.5</w:t>
      </w:r>
    </w:p>
    <w:p>
      <w:r>
        <w:t>Es besteht auch keine Veranlassung, eine Frist zur Beschwerdeverbesserung anzusetzen. Aus der Rechtsmitteleingabe geht hinreichend hervor, dass die Beschwerdeführenden mit den vorinstanzlichen Erwägungen in der angefochtenen Verfügung nicht einverstanden sind. Indes ist aufgrund der Akten festzustellen, dass die Vorinstanz vorliegend den Sachverhalt richtig festgestellt und diesen korrekt gewürdigt hat. Aufgrund der eingereichten Dokumente ergibt sich, dass der Beschwerdeführer wegen G._______ und H._______ verurteilt wurde. Im Rahmen der Anhörung vermochte er nicht dazutun, weshalb dieses Urteil zu Unrecht ergangen ist. Solches ist auch nicht ersichtlich. Namentlich ist nicht nachvollziehbar, weshalb der Bruder F._______ mit einer Videoaufnahme, die ihn selbst in einer kompromittierenden Lage zeigt, den Beschwerdeführer erpressen soll. Weiter sind keine Anhaltspunkte dafür ersichtlich, dass der Bestrafung des Beschwerdeführers ein Politmalus zugrunde liegen würde. Solches ist auch in Bezug auf die Rückbezahlung von zu Unrecht bezogenen Kinderzulagen nicht ersichtlich. Schliesslich handelt es sich bei den Streitigkeiten zwischen den Brüdern um Übergriffe privater Dritter, welche offensichtlich nicht asylrelevant sind. Weitergehend kann auf die ausführlichen und zutreffenden Erwägungen in der angefochtenen Verfügung verwiesen werden. Die Vorinstanz hat die Asylgesuche zu Recht abgelehnt.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Anordnung der Wegweisung ist nicht zu beanstanden.</w:t>
      </w:r>
    </w:p>
    <w:p>
      <w:r>
        <w:rPr>
          <w:b/>
        </w:rPr>
        <w:t>E. 6.1</w:t>
      </w:r>
    </w:p>
    <w:p>
      <w:r>
        <w:t>Der Vollzug der Wegweisung ist nach Art. 83 Abs. 3 des Bundesgesetzes vom 16. Dezember 2005 über die Ausländerinnen und Ausländer (AuG, SR 142.20) unzulässig, wenn völkerrechtliche Verpflichtungen der Schweiz einer Weiterreise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Beschwerdeführenden und den Akten ergeben sich keine konkreten Anhaltspunkte dafür, dass sie für den Fall einer Ausschaffung nach Mazedonien dort mit beachtlicher Wahrscheinlichkeit einer nach Art. 3 EMRK oder Art. 1 FoK verbotenen Strafe oder Behandlung ausgesetzt wäre. Der Vollzug der Wegweisung ist somit zulässig.</w:t>
      </w:r>
    </w:p>
    <w:p>
      <w:r>
        <w:rPr>
          <w:b/>
        </w:rPr>
        <w:t>E. 6.2</w:t>
      </w:r>
    </w:p>
    <w:p>
      <w:r>
        <w:t>Der Vollzug der Wegweisung kann nach Art. 83 Abs. 4 AuG unzumutbar sein, wenn der Ausländer im Heimat- oder Herkunftsstaat auf Grund von Situationen wie Krieg, Bürgerkrieg, allgemeiner Gewalt und medizinischer Notlage konkret gefährdet ist. Weder die allgemeine Lage in Mazedonien noch individuelle, in den Personen der Beschwerdeführenden liegende Gründe lassen den Vollzug der Wegweisung als unzumutbar erscheinen. Gemäss ihren Angaben sind sie Besitzer eines Hauses, haben vier Hektar Boden und ein Auto. Der Beschwerdeführer hat Berufserfahrungen als I._______ und J._______ und hat laut seinen Aussagen stets gut verdient. Vor diesem Hintergrund ist davon auszugehen, dass die Beschwerdeführenden bei einer Rückkehr nach Mazedonien in der Lage sein werden, eine neue Existenz aufzubauen. Gemäss ständiger Praxis des Bundesverwaltungsgerichts stellen blosse soziale und wirtschaftliche Schwierigkeiten keine existenzbedrohende Situation dar, die gegen die Zumutbarkeit des Vollzug spricht (vgl. statt vieler Urteil des Bundesverwaltungsgerichts E-5364/2013 vom 30. September 2013, mit weiteren Verweisen). Schliesslich steht auch das Kindeswohl einem Vollzug nicht entgegen (vgl. dazu BVGE 2009/28), hält sich die Familie doch erst rund drei Monaten in der Schweiz auf. Der Vollzug der Wegweisung ist somit zumutbar.</w:t>
      </w:r>
    </w:p>
    <w:p>
      <w:r>
        <w:rPr>
          <w:b/>
        </w:rPr>
        <w:t>E. 6.3</w:t>
      </w:r>
    </w:p>
    <w:p>
      <w:r>
        <w:t>Die Beschwerdeführenden verfügen über gültige Reisepässe und Identitätskarten, weshalb der Vollzug der Wegweisung im Sinne von Art. 83 Abs. 2 AuG möglich ist (Art. 8 Abs. 4 AsylG; BVGE 2008/34 E. 12).</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Beschwerdeführenden beantragen sinngemäss die Gewährung der unentgeltlichen Rechtspflege gemäss Art. 65 Abs. 1 VwVG. Aufgrund der vorstehenden Erwägungen ergibt sich, dass ihr Begehren als aussichtslos zu gelten hat. Damit ist eine der kumulativ zu erfüllenden Voraussetzungen zur Gewährung der unentgeltlichen Prozessführung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