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E-5505/2022 vom 7. Dezember 2022</w:t>
      </w:r>
    </w:p>
    <w:p>
      <w:r>
        <w:t>Bundesverwaltungsgericht, 2022-12-07, FR</w:t>
      </w:r>
    </w:p>
    <w:p>
      <w:r>
        <w:rPr>
          <w:b/>
        </w:rPr>
        <w:t xml:space="preserve">Quelle: </w:t>
      </w:r>
      <w:r>
        <w:t>https://mcp.opencaselaw.ch/entscheid/bvger_E-5505_2022</w:t>
      </w:r>
    </w:p>
    <w:p>
      <w:r>
        <w:t>FR: TAF E-5505/2022 du 7 décembre 2022</w:t>
      </w:r>
    </w:p>
    <w:p>
      <w:r>
        <w:t>IT: TAF E-5505/2022 del 7 dicembre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comme exposé précédemment, les investigations entreprises par le SEM ont révélé, après consultation de l'unité centrale du système européen « Eurodac », que le recourant avait déposé une demande d'asile en Croatie en date du (...) 2022.</w:t>
      </w:r>
    </w:p>
    <w:p>
      <w:r>
        <w:rPr>
          <w:b/>
        </w:rPr>
        <w:t>E. 4.2</w:t>
      </w:r>
    </w:p>
    <w:p>
      <w:r>
        <w:t>Le 27 septembre 2022, l'autorité inférieure a dès lors soumis aux autorités croates compétentes, dans les délais fixés à l'art. 23 par. 2 du règlement Dublin III, une requête aux fins de reprise en charge fondée sur l'art. 18 par. 1 let. b du règlement Dublin III.</w:t>
      </w:r>
    </w:p>
    <w:p>
      <w:r>
        <w:rPr>
          <w:b/>
        </w:rPr>
        <w:t>E. 4.3</w:t>
      </w:r>
    </w:p>
    <w:p>
      <w:r>
        <w:t>Le 11 octobre 2022, les autorités croates ont expressément accepté la demande de reprise en charge du recourant fondée sur la disposition précitée, conformément à l'art. 20 par. 5 du règlement Dublin III.</w:t>
      </w:r>
    </w:p>
    <w:p>
      <w:r>
        <w:rPr>
          <w:b/>
        </w:rPr>
        <w:t>E. 4.3.1</w:t>
      </w:r>
    </w:p>
    <w:p>
      <w:r>
        <w:t>En vertu de ce dernier article, l'Etat membre auprès duquel la demande de protection internationale a été introduite pour la première fois est tenu, dans les conditions prévues aux art. 23, 24, 25 ainsi que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4.3.2</w:t>
      </w:r>
    </w:p>
    <w:p>
      <w:r>
        <w:t>Cette disposition implique ainsi le retrait de la demande de protection internationale tel que défini à l'art. 2 let. e du règlement Dublin III. Conformément à la directive n° 2013/32/CE du Conseil du 26 juin 2013 relative à des normes minimales concernant la procédure d'octroi et de retrait du statut de réfugié dans les Etats membres (JO L 180/60 du 29.06.2013 ;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lorsqu'un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du règlement Dublin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ch. 48 à 50).</w:t>
      </w:r>
    </w:p>
    <w:p>
      <w:r>
        <w:rPr>
          <w:b/>
        </w:rPr>
        <w:t>E. 4.3.3</w:t>
      </w:r>
    </w:p>
    <w:p>
      <w:r>
        <w:t>En l'espèce, dans leur réponse du 11 octobre 2022, les autorités croates ont expressément accepté la demande de reprise en charge formulée par l'autorité inférieure en date du 27 septembre 2022 sur la base de l'art. 18 par. 1 let. b du règlement Dublin III, précisant l'accepter en vue d'achever le processus de détermination de l'Etat membre responsable de l'examen de la demande de protection internationale au sens de l'art. 20 par. 5 du règlement Dublin III (« in order to continue to determine responsability for the above mentioned person »). Comme relevé précédemment (cf. Faits let. B.), le dépôt par le recourant d'une demande de protection internationale en Croatie en date du (...) 2022 est confirmé par les données enregistrées dans le système « Eurodac ». Dans la mesure où l'intéressé n'a de surcroît pas quitté le territoire des Etats membres, ni obtenu de titre de séjour de la part d'un Etat membre dans l'intervalle, il se justifie de faire application de l'art. 20 par. 5 du règlement Dublin III, conformément à la jurisprudence précitée (cf. supra, consid. 4.3.2 in fine).</w:t>
      </w:r>
    </w:p>
    <w:p>
      <w:r>
        <w:rPr>
          <w:b/>
        </w:rPr>
        <w:t>E. 5.1</w:t>
      </w:r>
    </w:p>
    <w:p>
      <w:r>
        <w:t>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 RS 0.142.30), ainsi que l'interdiction des mauvais traitements ancrée aux art. 3 CEDH (RS 0.101) et 3 de la Convention du 10 décembre 1984 contre la torture et autres peines ou traitements cruels, inhumains ou dégradants (Conv. torture ;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en ce sens arrêt du Tribunal E-4855/2022 du 31 octobre 2022 consid. 5.2 et réf. cit.).</w:t>
      </w:r>
    </w:p>
    <w:p>
      <w:r>
        <w:rPr>
          <w:b/>
        </w:rPr>
        <w:t>E. 5.3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5.4</w:t>
      </w:r>
    </w:p>
    <w:p>
      <w:r>
        <w:t>Nonobstant les prises de position critiques de plusieurs organismes - notamment le Conseil de l'Europe -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Tribunal E-4367/2022 du 6 octobre 2022 consid. 6.4 ; F-4079/2022 du 23 septembre 2022 consid. 5.5 ; E-2755/2022 du 8 septembre 2022 consid. 5.2.3 ; E-1854/2022 du 1er septembre 2022 consid. 6.4 ; D-3316/2022 du 29 août 2022 ; E-3554/2022 du 25 août 2022 consid. 6.2 et jurisp. cit.).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 saurait être renversée dans le cas présent, en particulier au regard des allégations non étayées du recourant (cf. infra, consid. 6).</w:t>
      </w:r>
    </w:p>
    <w:p>
      <w:r>
        <w:rPr>
          <w:b/>
        </w:rPr>
        <w:t>E. 5.5</w:t>
      </w:r>
    </w:p>
    <w:p>
      <w:r>
        <w:t>Par conséquent, l'application de l'art. 3 par. 2 du règlement Dublin III ne se justifie pas en l'espèce.</w:t>
      </w:r>
    </w:p>
    <w:p>
      <w:r>
        <w:rPr>
          <w:b/>
        </w:rPr>
        <w:t>E. 6.1</w:t>
      </w:r>
    </w:p>
    <w:p>
      <w:r>
        <w:t>Pour s'opposer à son transfert vers la Croatie, l'intéressé soutient avoir été victime de violences et de racisme par les autorités croates, lesquelles l'auraient battu et maltraité. Il aurait été forcé de donner ses empreintes digitales, ceci alors même qu'il n'aurait jamais souhaité déposer une demande d'asile en Croatie. Il allègue craindre pour sa vie en cas de transfert vers ce pays et soutient qu'il est à ce jour traumatisé par le traitement qui lui y a été réservé.</w:t>
      </w:r>
    </w:p>
    <w:p>
      <w:r>
        <w:rPr>
          <w:b/>
        </w:rPr>
        <w:t>E. 6.2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w:t>
      </w:r>
    </w:p>
    <w:p>
      <w:r>
        <w:rPr>
          <w:b/>
        </w:rPr>
        <w:t>E. 6.3</w:t>
      </w:r>
    </w:p>
    <w:p>
      <w:r>
        <w:t>Le recourant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En outre, le recourant n'a fourni aucun élément susceptible de démontrer que la Croatie ne respecterait pas le principe de non-refoulement et faillirait ainsi à ses obligations internationales en la renvoyant dans un pays où sa vie, son intégrité corporelle ou sa liberté seraient sérieusement menacées, ou encore d'où il risquerait d'être astreint à se rendre dans un tel pays.</w:t>
      </w:r>
    </w:p>
    <w:p>
      <w:r>
        <w:rPr>
          <w:b/>
        </w:rPr>
        <w:t>E. 6.4</w:t>
      </w:r>
    </w:p>
    <w:p>
      <w:r>
        <w:t>L'intéressé n'a pas non plus apporté d'indices suffisants qu'il y serait privé durablement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3 Conv. torture (cf. arrêt du Tribunal E-4648/2022 du 25 octobre 2022 consid. 7.4). N'étant étayées par aucun élément concret, ni probant et s'avérant de surcroît très succinctes, les déclarations du recourant en lien avec les agissements des autorités croates à son égard (cf. supra, consid. 6.1) ne permettent pas de parvenir à une appréciation différente. Si l'intéressé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art. 26 Directive Accueil ; cf. arrêt du Tribunal F-1543/2018 du 19 mars 2018 consid. 6.2). A noter encore qu'en procédant au relevé des empreintes digitales du recourant au moment de son interpellation et de l'introduction de sa demande de protection internationale et à la transmission desdits relevés au système central Eurodac, les autorités croates se sont conformées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(JO L180/1 du 29.6.2013).</w:t>
      </w:r>
    </w:p>
    <w:p>
      <w:r>
        <w:rPr>
          <w:b/>
        </w:rPr>
        <w:t>E. 6.5</w:t>
      </w:r>
    </w:p>
    <w:p>
      <w:r>
        <w:t>Par conséquent, le transfert de l'intéressé vers la Croatie n'est pas contraire aux obligations découlant de dispositions conventionnelles auxquelles la Suisse est liée.</w:t>
      </w:r>
    </w:p>
    <w:p>
      <w:r>
        <w:rPr>
          <w:b/>
        </w:rPr>
        <w:t>E. 6.6</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6.7</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8</w:t>
      </w:r>
    </w:p>
    <w:p>
      <w:r>
        <w:t>S'avérant manifestement infondé, il l'est dans une procédure à juge unique, avec l'approbation d'un second juge (cf. art. 111 let. e LAsi). Il lors renoncé à un échange d'écritures (cf. art. 111a al. 1 LAsi).</w:t>
      </w:r>
    </w:p>
    <w:p>
      <w:r>
        <w:rPr>
          <w:b/>
        </w:rPr>
        <w:t>E. 9.1</w:t>
      </w:r>
    </w:p>
    <w:p>
      <w:r>
        <w:t>Par le présent prononcé, les demandes tendant à l'octroi de l'effet suspensif et à l'exemption du versement d'une avance de frais sont sans objet. Les conclusions du recours étant d'emblée vouées à l'échec, la requête d'assistance judiciaire totale doit être rejetée (cf. art. 102m al. 1 LAsi en lien avec art. 65 al. 1 PA).</w:t>
      </w:r>
    </w:p>
    <w:p>
      <w:r>
        <w:rPr>
          <w:b/>
        </w:rPr>
        <w:t>E. 9.2</w:t>
      </w:r>
    </w:p>
    <w:p>
      <w:r>
        <w:t>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