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E-5500/2020 vom 19. November 2020</w:t>
      </w:r>
    </w:p>
    <w:p>
      <w:r>
        <w:t>Bundesverwaltungsgericht, 2020-11-19, FR</w:t>
      </w:r>
    </w:p>
    <w:p>
      <w:r>
        <w:rPr>
          <w:b/>
        </w:rPr>
        <w:t xml:space="preserve">Quelle: </w:t>
      </w:r>
      <w:r>
        <w:t>https://mcp.opencaselaw.ch/entscheid/bvger_E-5500_2020</w:t>
      </w:r>
    </w:p>
    <w:p>
      <w:r>
        <w:t>FR: TAF E-5500/2020 du 19 novembre 2020</w:t>
      </w:r>
    </w:p>
    <w:p>
      <w:r>
        <w:t>IT: TAF E-5500/2020 del 19 novembre 2020</w:t>
      </w:r>
    </w:p>
    <w:p>
      <w:pPr>
        <w:pStyle w:val="Heading2"/>
      </w:pPr>
      <w:r>
        <w:t>Regeste</w:t>
      </w:r>
    </w:p>
    <w:p>
      <w:r>
        <w:t>Asile (non-entrée en matière / Etat tiers sûr 31a I a,c,d,e)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La juge unique : La greffière : Déborah D'Aveni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