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E-5498/2013 vom 4. Oktober 2013</w:t>
      </w:r>
    </w:p>
    <w:p>
      <w:r>
        <w:t>Bundesverwaltungsgericht, 2013-10-04, DE</w:t>
      </w:r>
    </w:p>
    <w:p>
      <w:r>
        <w:rPr>
          <w:b/>
        </w:rPr>
        <w:t xml:space="preserve">Quelle: </w:t>
      </w:r>
      <w:r>
        <w:t>https://mcp.opencaselaw.ch/entscheid/bvger_E-5498_2013</w:t>
      </w:r>
    </w:p>
    <w:p>
      <w:r>
        <w:t>FR: TAF E-5498/2013 du 4 octobre 2013</w:t>
      </w:r>
    </w:p>
    <w:p>
      <w:r>
        <w:t>IT: TAF E-5498/2013 del 4 ottobre 2013</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VwVG) ist unter Vorbehalt nachfolgender Erwägung einzutreten.</w:t>
      </w:r>
    </w:p>
    <w:p>
      <w:r>
        <w:rPr>
          <w:b/>
        </w:rPr>
        <w:t>E. 1.2</w:t>
      </w:r>
    </w:p>
    <w:p>
      <w:r>
        <w:t>Bei Beschwerden gegen Nichteintretensentscheide, mit denen es das BFM ablehnt, das Asylgesuch auf seine Begründetheit hin zu über-prüfen (Art. 32 - 35a AsylG), ist die Beurteilungskompetenz der Beschwerdeinstanz grundsätzlich auf die Frage beschränkt, ob die Vorinstanz auf das Asylgesuch zu Recht nicht eingetreten ist. Ist der Nichteintretensentscheid zu Unrecht ergangen, enthält sich das Bundesverwaltungsgericht einer selbständigen materiellen Prüfung, hebt die angefochtene Verfügung auf und weist die Sache zur neuen Entscheidung an die Vorinstanz zurück. Das Bundesverwaltungsgericht kann daher weder auf das Asylgesuch eintreten, noch bilden die Feststellung der Flüchtlingseigenschaft und die Asylgewährung Prozessgegenstand. Auf die entsprechenden Begehren ist nicht einzutreten.</w:t>
      </w:r>
    </w:p>
    <w:p>
      <w:r>
        <w:rPr>
          <w:b/>
        </w:rPr>
        <w:t>E. 2.1</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w:t>
      </w:r>
    </w:p>
    <w:p>
      <w:r>
        <w:t>Gemäss Art. 32 Abs. 2 Bst. e AsylG wird auf ein Asylgesuch nicht eingetreten, wenn die asylsuchende Person in der Schweiz bereits erfolglos ein Asylverfahren durchlaufen hat oder während des hängigen Asylverfahrens in den Heimat- oder Herkunftsstaat zurückgekehrt ist, ausser es gebe Hinweise, dass in der Zwischenzeit Ereignisse eingetreten sind, die geeignet sind, die Flüchtlingseigenschaft zu begründen, oder die für die Gewährung vorübergehenden Schutzes relevant sind.</w:t>
      </w:r>
    </w:p>
    <w:p>
      <w:r>
        <w:rPr>
          <w:b/>
        </w:rPr>
        <w:t>E. 4.1</w:t>
      </w:r>
    </w:p>
    <w:p>
      <w:r>
        <w:t>Den mit Verfügung vom 13. September 2013 in Anwendung vom Art. 32 Abs. 2 Bst. e AsylG getroffenen Nichteintretensentscheid begründet das BFM mit dem Umstand, dass die Vorbringen des Beschwerdeführers nicht plausibel und aufgrund der Widersprüche offensichtlich unglaubhaft seien. Das erste Asylverfahren sei seit dem 6. Dezember 2011 rechtskräftig abgeschlossen, es seien den neuen Sachverhaltsschilderungen keine Hinweise zu entnehmen, dass nach Abschluss des Verfahrens Ereignisse eingetreten seien, welche die Flüchtlingseigenschaft zu begründen vermöchten oder für die Gewährung vorübergehenden Schutzes relevant wären.</w:t>
      </w:r>
    </w:p>
    <w:p>
      <w:r>
        <w:rPr>
          <w:b/>
        </w:rPr>
        <w:t>E. 4.2</w:t>
      </w:r>
    </w:p>
    <w:p>
      <w:r>
        <w:t>Der Beschwerdeführer bringt in seiner Beschwerde vor, dass sich die Widersprüche auflösen liessen. Er sei der Meinung, dass er angegeben habe, an einem Sonntag und nicht an einem Donnerstag an den Protesten teilgenommen zu haben. Es könne sein, dass bei der Übersetzung ein Fehler unterlaufen sei, der beim Gegenlesen nicht entdeckt worden sei. Ferner treffe es zwar zu, dass er angegeben habe, erst im Juli 2013 von den Protesten erfahren zu haben. Die Proteste hätten zwar bereits Anfang Juni 2013 begonnen, die grosse Welle sei jedoch ab Mitte Juni 2013 erfolgt. Es sei nicht ganz einfach den Beginn der Proteste einem konkreten Datum zuzuordnen. Schliesslich sei es zu widersprüchlichen und detailarmen Antworten gekommen, weil es einerseits darauf ankomme, wie die Fragen gestellt werden, und er andererseits gerne Details hätte nennen wollen, jedoch nur Gelegenheit erhalten habe, auf konkrete Fragen zu antworten.</w:t>
      </w:r>
    </w:p>
    <w:p>
      <w:r>
        <w:rPr>
          <w:b/>
        </w:rPr>
        <w:t>E. 5.1</w:t>
      </w:r>
    </w:p>
    <w:p>
      <w:r>
        <w:t>Bei der Prüfung, ob Hinweise auf eine Verfolgung im Sinne von Art. 32 Abs. 2 Bst. e AsylG vorliegen, welche geeignet sind, die Flüchtlingseigenschaft zu begründen, ist praxisgemäss vom engen Verfolgungsbegriff im Sinne von Art. 3 AsylG auszugehen. Dabei ist ein gegenüber der Glaubhaftmachung reduzierter Beweismassstab anzusetzen: Auf ein Asylgesuch muss eingetreten werden, wenn sich Hinweise auf eine relevante Verfolgung ergeben, die nicht zum Vornherein haltlos sind (vgl. BVGE 2009/53 E. 4.2 S. 769, BVGE 2008/57 E. 3.2 S. 780).</w:t>
      </w:r>
    </w:p>
    <w:p>
      <w:r>
        <w:rPr>
          <w:b/>
        </w:rPr>
        <w:t>E. 5.2</w:t>
      </w:r>
    </w:p>
    <w:p>
      <w:r>
        <w:t>Die Vorinstanz hat Hinweise im Sinne von Art. 32 Abs. 2 Bst. e AsylG zutreffend verneint. So trifft zu, dass seine Angaben teils widersprüchlich, pauschal und substanzarm ausgefallen und als unglaubhaft zu würdigen sind. Es kann hierbei auf die zutreffenden vorinstanzlichen Erwägungen verwiesen werden. Was der Beschwerdeführer auf Beschwerdeebene dagegen vorbringt, ist nicht geeignet, die vorinstanzliche Beweiswürdigung in einem anderen Licht erscheinen zu lassen. Die Widersprüche lassen sich nicht mit Übersetzungsfehlern oder Schwierigkeiten in der Zuordnung eines Ereignisses zu einem Datum erklären, zumal sich zahlreiche weitere Widersprüche in seinen Angaben finden lassen. Auch trifft nicht zu, dass er keine Gelegenheit erhalten hatte, substantiierte Aussagen vorzubringen. Er wurde zunächst offen nach seinen Asylgründen befragt und alsdann mehrmals aufgefordert, die Ereignisse genau zu schildern. Seine Aussagen blieben indes substanzarm und vermitteln nicht den Eindruck des Selbsterlebten. Es ist deshalb in Übereinstimmung mit der Vorinstanz festzuhalten, dass keine Hinweise vorliegen, die geeignet wären, die Flüchtlingseigenschaft nachträglich zu begründen. Die Vorinstanz ist zu Recht auf das Asylgesuch nicht eingetreten.</w:t>
      </w:r>
    </w:p>
    <w:p>
      <w:r>
        <w:rPr>
          <w:b/>
        </w:rPr>
        <w:t>E. 6</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Das Bundesamt hat die Anordnung der Wegweisung zu Recht verfügt.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der Wegweisung ist nach Art. 83 Abs. 3 AuG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Aussagen des Beschwerdeführers und den Akten ergeben sich keine konkreten Anhaltspunkte dafür, dass er für den Fall einer Ausschaffung in sein Heimatland dort mit beachtlicher Wahrscheinlichkeit einer nach Art. 3 EMRK oder Art. 1 FoK verbotenen Strafe oder Behandlung ausgesetzt wäre. Der Vollzug der Wegweisung ist somit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sind. Wird eine konkrete Gefährdung festgestellt, ist - unter Vorbehalt von Art. 83 Abs. 7 AuG - die vorläufige Aufnahme zu gewähren. Weder die allgemeine Lage in der Türkei noch individuelle Gründe lassen auf eine konkrete Gefährdung im Falle einer Rückkehr des Beschwerdeführers in die Türkei schliessen. Der Vollzug der Wegweisung ist demnach zumutbar.</w:t>
      </w:r>
    </w:p>
    <w:p>
      <w:r>
        <w:rPr>
          <w:b/>
        </w:rPr>
        <w:t>E. 7.4</w:t>
      </w:r>
    </w:p>
    <w:p>
      <w:r>
        <w:t>Der Vollzug ist schliesslich nach Art. 83 Abs. 2 AuG als möglich zu bezeichnen, weil es dem Beschwerdeführer obliegt, sich bei der zuständigen Vertretung des Heimatstaates die für eine Rückkehr notwendigen Reisedokumente zu beschaffen (BVGE 2008/34 E. 12 S. 513-515).</w:t>
      </w:r>
    </w:p>
    <w:p>
      <w:r>
        <w:rPr>
          <w:b/>
        </w:rPr>
        <w:t>E. 8</w:t>
      </w:r>
    </w:p>
    <w:p>
      <w:r>
        <w:t>Zusammenfassend ergibt sich, dass die angefochtene Verfügung Bundesrecht nicht verletzt und auch kein anderer Beschwerdegrund erfüllt ist (Art. 106 Abs. 1 AsylG). Die Beschwerde ist abzuweisen, soweit darauf einzutreten ist.</w:t>
      </w:r>
    </w:p>
    <w:p>
      <w:r>
        <w:rPr>
          <w:b/>
        </w:rPr>
        <w:t>E. 9</w:t>
      </w:r>
    </w:p>
    <w:p>
      <w:r>
        <w:t>Dem Ersuchen des Beschwerdeführers um Gewährung der unentgeltlichen Rechtspflege kann nicht entsprochen werden, weil seine Begehren als aussichtslos zu gelten haben (Art. 65 Abs. 1 VwVG). Der Beschwerdeführer hat daher die Kosten des vorliegenden Verfahrens zu tragen (Art. 63 Abs. 1 VwVG), die auf Fr. 600.- festzusetzen sind (Art. 1-3 des Reglements vom 21. Februar 2008 über die Kosten und Entschädigungen vor dem Bundesverwaltungsgericht [VGKE, SR 173.320.2]). Das Gesuch um Verzicht auf die Erhebung eines Kostenvorschusses und die übrigen prozessualen Anträgen werden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