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E-5496/2011 vom 5. Dezember 2013</w:t>
      </w:r>
    </w:p>
    <w:p>
      <w:r>
        <w:t>Bundesverwaltungsgericht, 2013-12-05, DE</w:t>
      </w:r>
    </w:p>
    <w:p>
      <w:r>
        <w:rPr>
          <w:b/>
        </w:rPr>
        <w:t xml:space="preserve">Quelle: </w:t>
      </w:r>
      <w:r>
        <w:t>https://mcp.opencaselaw.ch/entscheid/bvger_E-5496_2011</w:t>
      </w:r>
    </w:p>
    <w:p>
      <w:r>
        <w:t>FR: TAF E-5496/2011 du 5 décembre 2013</w:t>
      </w:r>
    </w:p>
    <w:p>
      <w:r>
        <w:t>IT: TAF E-5496/2011 del 5 dicembre 2013</w:t>
      </w:r>
    </w:p>
    <w:p>
      <w:pPr>
        <w:pStyle w:val="Heading2"/>
      </w:pPr>
      <w:r>
        <w:t>Regeste</w:t>
      </w:r>
    </w:p>
    <w:p>
      <w:r>
        <w:t>Aufhebung vorläufige Aufnahme (Asyl)</w:t>
      </w:r>
    </w:p>
    <w:p>
      <w:pPr>
        <w:pStyle w:val="Heading2"/>
      </w:pPr>
      <w:r>
        <w:t>Erwägungen</w:t>
      </w:r>
    </w:p>
    <w:p>
      <w:r>
        <w:rPr>
          <w:b/>
        </w:rPr>
        <w:t>E. 1.1</w:t>
      </w:r>
    </w:p>
    <w:p>
      <w:r>
        <w:t>Das Bundesverwaltungsgericht entscheidet im Bereich des Ausländerrechts betreffend vorläufige Aufnahme endgültig über Beschwerden gegen Verfügungen (Art. 5 des Verwaltungsverfahrensgesetzes vom 20. Dezember 1968 [VwVG, SR 172.021] des BFM (Art. 112 AuG; Art. 83 Bst. c Ziff. 3 des Bundesgerichtsgesetzes vom 17. Juni 2005 [BGG, SR 173.110]; Art. 31-33 des Verwaltungsgerichtsgesetzes vom 17. Juni 2005 (VGG, SR 173.321]).</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112 Abs. 1 AuG i.V.m. Art. 48 Abs. 1 VwVG).</w:t>
      </w:r>
    </w:p>
    <w:p>
      <w:r>
        <w:rPr>
          <w:b/>
        </w:rPr>
        <w:t>E. 1.3</w:t>
      </w:r>
    </w:p>
    <w:p>
      <w:r>
        <w:t>Auf die frist- und formgerecht eingereichte Beschwerde ist einzutreten (Art. 50 und 52 VwVG).</w:t>
      </w:r>
    </w:p>
    <w:p>
      <w:r>
        <w:rPr>
          <w:b/>
        </w:rPr>
        <w:t>E. 2</w:t>
      </w:r>
    </w:p>
    <w:p>
      <w:r>
        <w:t>Die Begründung der Beschwerdeanträge bindet das Bundesveraltungsgericht nicht und es kann die Beschwerde auch aus anderen als den geltend gemachten Gründen gutheissen oder den angefochtenen Entscheid im Ergebnis mit einer von jener der Vorinstanz abweichenden Begründung bestätigen (vgl. Art. 62 Abs. 4 VwVG).</w:t>
      </w:r>
    </w:p>
    <w:p>
      <w:r>
        <w:rPr>
          <w:b/>
        </w:rPr>
        <w:t>E. 3.1</w:t>
      </w:r>
    </w:p>
    <w:p>
      <w:r>
        <w:t>Das BFM überprüft gestützt auf Art. 84 Abs. 1 AuG periodisch, ob die Voraussetzungen für die vorläufige Aufnahme - fehlende Zulässigkeit, Zumutbarkeit oder Möglichkeit des Wegweisungsvollzugs - noch erfüllt sind und hebt gegebenenfalls die vorläufige Aufnahme auf und ordnet den Vollzug der Wegweisung an (Art. 84 Abs. 2 AuG).</w:t>
      </w:r>
    </w:p>
    <w:p>
      <w:r>
        <w:rPr>
          <w:b/>
        </w:rPr>
        <w:t>E. 3.2</w:t>
      </w:r>
    </w:p>
    <w:p>
      <w:r>
        <w:t>Das BFM ist bei Asylverfahren,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Dieses Vorgehen geht auf im August 2013 bekannt gewordene Ereignisse zurück, bei denen zwei abgewiesene sri-lankische Asylsuchende nach ihrer Rückkehr aus der Schweiz verhaftet worden seien. Das BFM stellte zudem in Aussicht, die beiden Vorfälle und die Frage einer allfälligen Veränderung der allgemeinen Situation und insbesondere die Lage der Rückkehrenden in Sri Lanka vertieft abzuklären (vgl. Medienmitteilungen des BFM vom 3. Oktober 2013 und 4. September 2013). Die Vorinstanz geht damit selbst davon aus, dass der Sachverhalt, wie er der Verfügung vom 31. August 2011 zugrunde liegt, offensichtlich nicht vollständig festgestellt ist; denn es besteht kein Zweifel, dass eine neue Lagebeurteilung vor Ort sich auf die konkrete Feststellung des rechtserheblichen Sachverhalts im Wegweisungsvollzugspunkt auswirken kann.</w:t>
      </w:r>
    </w:p>
    <w:p>
      <w:r>
        <w:rPr>
          <w:b/>
        </w:rPr>
        <w:t>E. 3.3</w:t>
      </w:r>
    </w:p>
    <w:p>
      <w:r>
        <w:t>Gemäss Art. 61 Abs. 1 VwVG entscheidet das Bundesverwaltungsgericht in der Sache selbst oder weist diese ausnahmsweise mit verbindlichen Weisungen an die Vorinstanz zurück. Eine Kassation der Verfügung und Rückweisung an die Vorinstanz ist insbesondere angezeigt, wenn weitere Tatsachen festgestellt werden müssen und ein umfassendes Beweisverfahren durchzuführen ist. Fehlende Entscheidungsreife kann zwar auch durch die Beschwerdeinstanz hergestellt werden, wenn dies im Einzelfall aus prozessökonomischen Gründen angebracht erscheint (vgl. BVGE 2012/21 E. 5); sie kann und soll aber die Grundlagen des rechtserheblichen Sachverhalts nicht gleichsam an Stelle der verfügenden Verwaltungsbehörde erheben, zumal die Partei bei diesem Vorgehen eine Instanz verlöre (vgl. Urteil E-4157/2012 vom 4. Oktober 2012 E. 4.6 S. 8). Die vorliegend notwendigen Abklärungen stellen eine relativ aufwändige und umfangreiche Beweiserhebung dar, weshalb die Kassation der angefochtenen Verfügung angezeigt ist.</w:t>
      </w:r>
    </w:p>
    <w:p>
      <w:r>
        <w:rPr>
          <w:b/>
        </w:rPr>
        <w:t>E. 3.4</w:t>
      </w:r>
    </w:p>
    <w:p>
      <w:r>
        <w:t>Die Beschwerde ist demnach insoweit gutzuheissen. Die angefochtene Verfügung ist aufzuheben, die Sache ist zur vollständigen Sachverhaltsfeststellung sowie allenfalls zu neuer Entscheidung an die Vorinstanz zurückzuweisen; die vorinstanzlichen Akten sowie Kopien der wesentlichen Aktenstücke des Beschwerdedossiers, welches ebenfalls Prozessstoff des vorinstanzlichen Verfahrens bilden wird, sind dem BFM zuzustellen. Auf die formalen und inhaltlichen Vorbringen des Beschwerdeführers ist bei diesem Verfahrensgang nicht weiter einzugehen.</w:t>
      </w:r>
    </w:p>
    <w:p>
      <w:r>
        <w:rPr>
          <w:b/>
        </w:rPr>
        <w:t>E. 3.5</w:t>
      </w:r>
    </w:p>
    <w:p>
      <w:r>
        <w:t>Über das beim Bundesverwaltungsgericht hängige Beschwerdeverfahren der Ehefrau des Beschwerdeführers (E-3918/2012) wird im Sinn der Koordination der Verfahren mit heutigem separatem Urteil des gleichen Spruchkörpers ebenfalls entschieden.</w:t>
      </w:r>
    </w:p>
    <w:p>
      <w:r>
        <w:rPr>
          <w:b/>
        </w:rPr>
        <w:t>E. 4.1</w:t>
      </w:r>
    </w:p>
    <w:p>
      <w:r>
        <w:t>Bei diesem Ausgang des Verfahrens sind keine Kosten zu erheben (Art. 63 Abs. 1 und 2 VwVG); der vom Beschwerdeführer geleistete Kostenvorschuss von Fr. 600.- ist ihm rückzuerstatten.</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der Kostennote vom 5. Dezember 2012 wird (bereits für den damaligen Zeitpunkt) ein Vertretungsaufwand von mehr als 26 Honorarstunden ausgewiesen, der als den konkreten Verfahrensverhältnissen nicht angemessen respektive als grösstenteils nicht notwendig im Sinn von Art. 64 Abs. 1 VwVG erscheint. Die Parteientschädigung wird unter Berücksichtigung der massgebenden Bemessungsfaktoren (vgl. Art. 7 ff. VGKE) auf insgesamt Fr. 1600.- (inkl. sämtlicher Auslangen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