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E-5495/2023 vom 1. Februar 2024</w:t>
      </w:r>
    </w:p>
    <w:p>
      <w:r>
        <w:t>Bundesverwaltungsgericht, 2024-02-01, FR</w:t>
      </w:r>
    </w:p>
    <w:p>
      <w:r>
        <w:rPr>
          <w:b/>
        </w:rPr>
        <w:t xml:space="preserve">Quelle: </w:t>
      </w:r>
      <w:r>
        <w:t>https://mcp.opencaselaw.ch/entscheid/bvger_E-5495_2023</w:t>
      </w:r>
    </w:p>
    <w:p>
      <w:r>
        <w:t>FR: TAF E-5495/2023 du 1 février 2024</w:t>
      </w:r>
    </w:p>
    <w:p>
      <w:r>
        <w:t>IT: TAF E-5495/2023 del 1 febbraio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L'intéressé fait préliminairement valoir que le SEM aurait violé la maxime inquisitoire et son obligation de motiver ainsi que, plus largement, son droit d'être entendu.</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Tribunal F-2766/2021 du 25 juin 2021 consid. 2.2). L'étendue du devoir d'instruction dépend de la pertinence des faits à établir.</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2.4</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2.5</w:t>
      </w:r>
    </w:p>
    <w:p>
      <w:r>
        <w:t>L'intéressé reproche, d'une part, au SEM d'avoir insuffisamment instruit la question de son état de santé psychique. Compte tenu de sa vulnérabilité, des idées suicidaires qu'il a exprimées et des doutes existants quant aux possibilités d'une prise en charge adaptée en Croatie, l'autorité intimée se serait abstenue à tort d'ordonner une évaluation psychiatrique et d'en attendre le résultat. En outre, le SEM aurait faussement retenu, dans la décision querellée, qu'un traitement adéquat de ses troubles psychiques avait été prescrit. L'instruction de son état de santé aurait également été entravée par la surcharge actuelle des infirmeries des centres d'accueil, l'absence d'interprètes et son transfert du centre d'accueil de C._______ à celui de D._______, en date du 19 septembre 2023.</w:t>
      </w:r>
    </w:p>
    <w:p>
      <w:r>
        <w:rPr>
          <w:b/>
        </w:rPr>
        <w:t>E. 2.6</w:t>
      </w:r>
    </w:p>
    <w:p>
      <w:r>
        <w:t>En l'occurrence, au moment où l'autorité intimée a statué, elle disposait des déclarations de l'intéressé relatives à son état de santé, notamment psychique, ainsi que de documents médicaux, soit en particulier le rapport médical du 25 août 2023 précité (cf. supra, let. C et D). Nanti de ces informations, le SEM a notamment retenu que rien n'indiquait que le recourant nécessitait un suivi psychologique si conséquent ou spécifique qu'il ne puisse être effectué qu'en Suisse ou qu'il doive être renoncé à un retour en Croatie. En particulier, l'autorité intimée a considéré que la mention d'un risque suicidaire ne justifiait pas de renoncer au transfert, dès lors que l'intéressé aurait accès aux soins en Croatie et pourrait, le cas échéant, y poursuivre son traitement médical. Le SEM a encore rappelé qu'il appartenait au médecin traitant du recourant de le préparer au mieux à son transfert en Croatie. Il a souligné que les éventuelles difficultés pour accéder aux soins médicaux en Suisse, notamment liées à des problèmes de compréhension, ne remettaient pas en cause ses conclusions. Force est ainsi d'admettre que le SEM a pris en compte les éléments médicaux figurant alors au dossier, lesquels ne laissaient apparaître, selon lui, aucun indice de troubles susceptibles de faire obstacle au transfert de l'intéressé. En outre, comme l'a souligné l'autorité intimée dans sa prise de position du 20 octobre 2023 (cf. p. 3), l'intéressé a pu faire valoir ses problèmes de santé en Suisse. Dans ce contexte, le SEM était fondé à statuer sans attendre le résultat d'éventuels examens complémentaires, notamment en lien avec la consultation qui avait semble-t-il été agendée au 30 août 2023. Le fait que l'autorité intimée a indiqué, sans autre précision, que des médicaments avaient été prescrits au recourant et que celui-ci avait fait l'objet d'un traitement adéquat (cf. décision querellée, p. 12) ne suffit pas à établir que le SEM aurait statué sur la base d'un état de fait inexact, ces remarques ne visant à l'évidence que le traitement de ses troubles gastriques. Il n'est dès lors pas établi que le SEM se serait mépris sur la prise en charge actuelle des troubles psychiques du recourant. L'autorité intimée n'a par conséquent pas violé son devoir d'instruction d'office sur ce point. L'intéressé fait pour le surplus valoir des arguments de fond, qui seront examinés plus loin.</w:t>
      </w:r>
    </w:p>
    <w:p>
      <w:r>
        <w:rPr>
          <w:b/>
        </w:rPr>
        <w:t>E. 2.7</w:t>
      </w:r>
    </w:p>
    <w:p>
      <w:r>
        <w:t>Le recourant reproche, d'autre part, au SEM d'avoir insuffisamment motivé la décision querellée s'agissant des graves carences qui affecteraient, selon lui, le système d'accueil et de prise en charge, notamment médicale, des requérants d'asile en Croatie. Il fait notamment grief au SEM de ne pas avoir mentionné que les opérations sur place de l'ONG Médecins du Monde (MdM) avaient pris fin en mai 2023 après le non renouvellement par les autorités croates de l'appel d'offre correspondant, et n'avaient repris temporairement que grâce à un financement du SEM.</w:t>
      </w:r>
    </w:p>
    <w:p>
      <w:r>
        <w:rPr>
          <w:b/>
        </w:rPr>
        <w:t>E. 2.8</w:t>
      </w:r>
    </w:p>
    <w:p>
      <w:r>
        <w:t>En l'espèce, le SEM a notamment retenu que la Croatie était dotée d'une infrastructure médicale satisfaisante et était tenue, en vertu de ses obligations internationales, d'accorder aux requérants d'asile les soins nécessaires comprenant au minimum, les soins urgents et le traitement essentiel des maladies et troubles mentaux graves. L'autorité intimée a encore relevé que les coûts des prestations médicales fournies aux requérants d'asile en Croatie sont pris en charge par l'Etat croate et que tous les requérants y ont droit à des soins médicaux et psychosociaux ainsi qu'à une assistance et un soutien psychosocial dans des établissements de santé appropriés. Elle a ajouté que le ministère de l'Intérieur croate mandate des ONG pour fournir des soins médicaux aux requérants d'asile et que ces dernières proposent également des soins psychologiques, ce qui laissait supposer que l'offre de traitement psychologique dans ce pays est suffisante. Force est de constater que le recourant a manifestement compris cette motivation et, au vu de l'argumentation développée dans son mémoire, a pu exercer son droit de recours à bon escient. La motivation de la décision querellée apparaît ainsi suffisante. Le fait que le SEM n'a pas spécifiquement fait mention de la situation de MdM en Croatie et du financement de son activité dans ce pays ne suffit pas à établir un défaut de motivation de la décision querellée quant aux possibilités de soin sur place. Dans la mesure où les arguments correspondants sont dirigés contre le contenu de la motivation de la décision attaquée, il y sera répondu ci-après.</w:t>
      </w:r>
    </w:p>
    <w:p>
      <w:r>
        <w:rPr>
          <w:b/>
        </w:rPr>
        <w:t>E. 2.9</w:t>
      </w:r>
    </w:p>
    <w:p>
      <w:r>
        <w:t>Dans ces conditions, les griefs d'ordre formel soulevés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 Dans son recours, l'intéressé ne revient pas sur sa minorité alléguée, niée par le SEM. Le Tribunal ne peut ainsi que constater les conclusions prises par le SEM sur ce point, dont il n'y a de prime abord, sur la base notamment de l'expertise médicale relative à l'âge du recourant, aucunement lieu de s'écarter</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29 juin 2023. Ses déclarations selon lesquelles ses empreintes digitales y ont été prélevées et une demande d'asile déposée à son insu ne sont pas étayées (cf. consid. 7.3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du recourant au moment de son interpellation et à la transmission desdits relevés au système central Eurodac, les autorités croates se sont conformées à leur obligation découlant de l'art. 9 par. 1 et de l'art. 14 par. 1 du règlement Eurodac. Dans ces circonstances, rien n'indique que l'intéressé, aux fins de la saisie de ses empreintes digitales et de l'enregistrement de sa demande de protection internationale, aurait subi de la part de la police croate des moyens de contrainte contraires à l'art. 3 CEDH ou aux art. 3 et 16 de la Convention du 10 décembre 1984 contre la torture et autres peines ou traitements cruels, inhumains ou dégradants (CCT, RS 0.105).</w:t>
      </w:r>
    </w:p>
    <w:p>
      <w:r>
        <w:rPr>
          <w:b/>
        </w:rPr>
        <w:t>E. 5.2</w:t>
      </w:r>
    </w:p>
    <w:p>
      <w:r>
        <w:t>En date du 7 septembre 2023, l'autorité intimée a dès lors soumis aux autorités croates compétentes, dans les délais fixés à l'art. 23 par. 2 du règlement Dublin III, une requête aux fins de reprise en charge, fondée sur l'art. 18 par. 1 let. b du règlement Dublin III.</w:t>
      </w:r>
    </w:p>
    <w:p>
      <w:r>
        <w:rPr>
          <w:b/>
        </w:rPr>
        <w:t>E. 5.3</w:t>
      </w:r>
    </w:p>
    <w:p>
      <w:r>
        <w:t>Les autorités croates ont expressément accepté de reprendre en charge le recourant en date du 21 septembre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6.3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E-5863/2022 du 22 janvier 2024 consid. 6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6.4</w:t>
      </w:r>
    </w:p>
    <w:p>
      <w:r>
        <w:t>Par conséquent, l'application de l'art. 3 par. 2 du règlement Dublin III ne se justifie pas en l'espèce.</w:t>
      </w:r>
    </w:p>
    <w:p>
      <w:r>
        <w:rPr>
          <w:b/>
        </w:rPr>
        <w:t>E. 7.1</w:t>
      </w:r>
    </w:p>
    <w:p>
      <w:r>
        <w:t>Pour s'opposer à son transfert vers la Croatie, l'intéressé soutient au stade du recours qu'il est une personne vulnérable du fait de son état de santé déficient et qu'en cas de retour en Croatie, il risque d'être d'exposé à de mauvais traitements prohibés par le droit international. Il mentionne en outre avoir été maltraité au cours de son séjour en Croatie (cf. mémoire de recours, p. 11 ss.).</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Lors de son audition, le recourant n'a pas allégué avoir fait l'objet de violence de la part des autorités croates. S'agissant en particulier des circonstances dans lesquelles sa demande d'asile a été enregistrée, il a seulement déclaré : « Il m'a montré des feuilles et moi je ne comprenais pas ce qu'il voulait dire. Il a fait une signature dans une autre feuille et m'a fait comprendre que je devais faire la même chose. Quand j'ai signé, ils m'ont donné quelque chose à manger et ils m'ont mis dans le train et je suis parti » (cf. procès-verbal de l'audition du 3 août 2023, point 2.06). Plus loin, il a déclaré : « Juste je me rappelle qu'ils m'ont proposé de faire une signature » (cf. ibidem, point 8.02). Ainsi, même à les admettre, ces faits ne révèlent manifestement aucune violation des art. 3 CEDH ou 3 CCT. De plus, quand bien même le recourant aurait été traité avec hostilité par des membres de la police croate, ce qu'il n'a pas non plus allégué lors de son audition, de tels comportements ne sauraient refléter l'attitude des autorités croates dans leur ensemble. La seule évocation de mauvais traitements, au demeurant tardive et sans la moindre précision, ne saurait toutefois convaincre. Au demeurant, les allégations du recourant à cet égard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 européenne de droits de l'homme (cf. arrêt du Tribunal F-1543/2018 du 19 mars 2018 consid. 6.2 ainsi que art. 26 Directive Accueil).</w:t>
      </w:r>
    </w:p>
    <w:p>
      <w:r>
        <w:rPr>
          <w:b/>
        </w:rPr>
        <w:t>E. 7.4.1</w:t>
      </w:r>
    </w:p>
    <w:p>
      <w:r>
        <w:t>Compte tenu de la jurisprudence restrictive en la matière, encore récemment rappelée par le Tribunal (cf. not. arrêts du TribunalE-5863/2022 précité consid. 7.4.3, F-2394/2023 du 18 janvier 2024 consid. 7.4 et D-3385/2023 du 28 juillet 2023 considérant 7.3.2), il y a lieu de considérer que les problèmes de santé évoqués par le recourant ne sont pas d'une gravité telle qu'il se justifierait de renoncer à son transfert vers la Croatie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 du Tribunal E-5863/2022 précité consid. 7.4.3 et jurisp. cit.). En tout état de cause, on rappellera, à l'instar du SEM,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rapport de l'Organisation suisse d'aide aux réfugiés (OSAR) mentionné dans le recours (cf. mémoire de recours, p. 11), ne suffit pas à faire admettre que la Croatie ne respecterait pas ses obligations sur ce point. Quoi qu'en dise le recourant, les modalités d'action de MdM en Croatie ne sont pas non plus déterminantes à cet égard. Le SEM a néanmoins rappelé, dans sa prise de position du 20 octobre 2023 (cf. p. 4), que les autorités croates continuaient d'assurer les soins médicaux prévus par la directive Accueil jusqu'à ce que le nouvel appel d'offre relatif à l'attribution de cette tâche ait été bouclé. A cet égard, il a ajouté qu'un contrat avec la Croix-Rouge croate pour l'assistance psychosociale (des demandeurs d'asile) avait été renouvelé. Dans ce contexte, l'interruption temporaire des activités de MdM en Croatie et l'opposition que cet organisme aurait manifesté vis-à-vis des transferts dans ce pays (cf. réplique du 9 novembre 2023, p. 2) n'apparaissent pas décisives (cf. également à cet égard arrêt du Tribunal E-5863/2022 précité consid. 7.4.3). En définitive, rien n'indique que les requérants d'asile transférés en Croatie n'y bénéficient pas d'une prise en charge médicale suffisante, quoi qu'en dise l'intéressé.</w:t>
      </w:r>
    </w:p>
    <w:p>
      <w:r>
        <w:rPr>
          <w:b/>
        </w:rPr>
        <w:t>E. 7.4.2</w:t>
      </w:r>
    </w:p>
    <w:p>
      <w:r>
        <w:t>Comme déjà dit, il ressort du rapport médical du 25 août 2023 que l'intéressé a rapporté avoir eu des idéations suicidaires scénarisées huit ou neuf jours auparavant. Comme également indiqué dans ce rapport, le recourant n'aurait cependant plus manifesté de telles tendances par la suite. On relèvera en outre que si tel avait été le cas ultérieurement, l'intéressé aurait eu tout loisir de demander de l'aide, comme il s'y était engagé, par exemple en consultant un service d'urgence, ce qu'il n'a apparemment pas fait. Rien n'indique dès lors qu'il présente à ce jour des idéations suicidaires. Ce constat est confirmé par le document médical le plus récent qui, comme l'a relevé le SEM dans sa prise de position du 20 octobre 2023 (p. 5), fait état d'une amélioration de l'état de santé psychique de l'intéressé, en ce sens que celui-ci ne présente plus - respectivement pas - d'idée suicidaire, d'idée noire ou d'hallucination (cf. rapport médical du 17 octobre 2023). Lorsqu'il s'est présenté à l'infirmerie du centre le 6 septembre 2023, c'était en raison de ses troubles gastriques. Aucune mention ne figure sur la fiche de consultation du 14 septembre suivant, mais, en l'absence d'interprète, l'intéressé n'a même pas donné le motif de sa consultation. Rien n'indique qu'il ait souhaité une autre consultation, qui aurait pu être agendée. Dans ces conditions, une mise en danger immédiate paraît, à tout le moins, pouvoir être écartée. Rien ne suggère non plus que les tendances suicidaires évoquées par le recourant à un instant donné aient été en lien avec des événements survenus en Croatie. Comme relevé, sa détresse psychologique aurait en effet été liée au décès de son père, survenu en Afghanistan - événement au cours duquel l'intéressé aurait également été blessé par balle (cf. procès-verbal de l'audition du 3 août 2023, point 7.01) - ainsi qu'à l'état de santé de sa mère. Il n'y a dès lors pas lieu de penser qu'un retour en Croatie, ou la perspective d'un tel retour, serait en soi de nature à provoquer une recrudescence d'idéations suicidaires chez l'intéressé ou, de manière plus générale, péjorer son état psychique, comme il le soutient notamment dans sa réplique du 9 novembre 2023 (pp 1 à 3). Il convient encore de rappeler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déjà exposé, il n'y a en l'état pas de facteur de risque réel et immédiat de suicide concernant le recourant. La sévérité de sa maladie mentale n'est pas établie. En outre, il n'est pas connu pour des antécédents que ce soit de trouble mental, de tentative de suicide ou d'acte d'auto-agression, ni n'a dû être hospitalisé dans un service psychiatrique depuis son entrée en Suisse. Si avant son transfert, le recourant devait devant l'imminence de celui-ci voir son état de santé se dégrader, il appartiendrait au SEM à tout le moins de s'assurer qu'il soit pris en charge médicalement à son arrivée en Croatie pour parer à un éventuel risque de suicide. A cet égard, il sied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Le SEM transmettra en tout état aux autorités croates les informations relatives à ses besoins en matière de soins de santé comme prévu par les art. 31 et 32 RD III. Il veillera dans ce cadre à respecter le délai que lui a signifié l'Unité Dublin croate pour la transmission de données avant l'exécution du transfert. A noter que le SEM n'est pas tenu d'obtenir une garantie préalable des autorités croates quant à une prise en charge médicale appropriée du recourant. En effet, l'obtention d'assurances quant à une prise en charge conforme aux obligations internationales incombant à l'Etat responsable n'est aucunement prévue par la réglementation Dublin.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au recourant, est présumé produire l'effet escompté. En définitive, les autorités en charge de l'exécution du transfert sont tenues de bien l'organiser. Il appartiendra également, le cas échéant, aux thérapeutes du recourant de le préparer à la perspective de son transfert.</w:t>
      </w:r>
    </w:p>
    <w:p>
      <w:r>
        <w:rPr>
          <w:b/>
        </w:rPr>
        <w:t>E. 7.4.3</w:t>
      </w:r>
    </w:p>
    <w:p>
      <w:r>
        <w:t>Dès lors, il y a lieu de retenir que l'état de santé du recourant ne saurait faire obstacle à l'exécution de son transfert vers la Croatie.</w:t>
      </w:r>
    </w:p>
    <w:p>
      <w:r>
        <w:rPr>
          <w:b/>
        </w:rPr>
        <w:t>E. 7.5</w:t>
      </w:r>
    </w:p>
    <w:p>
      <w:r>
        <w:t>Par conséquent, le transfert de l'intéressé vers la Croatie n'est pas contraire aux obligations découlant de dispositions conventionnelles auxquelles la Suisse est liée.</w:t>
      </w:r>
    </w:p>
    <w:p>
      <w:r>
        <w:rPr>
          <w:b/>
        </w:rPr>
        <w:t>E. 7.6</w:t>
      </w:r>
    </w:p>
    <w:p>
      <w:r>
        <w:t>Il y a en outre lieu de constater que le SEM a établi de manière complète et exacte l'ensemble des faits pertinents pour l'examen de la cause et, quoi qu'en dise l'intéressé, n'a commis ni excès ni abus de son pouvoir d'appréciation en refusant d'admettre l'existence de raisons humanitaires au sens de l'art. 29a al. 3 OA 1, en combinaison avec l'art. 17 par. 1 du règlement Dublin III (cf. ATAF 2015/9 consid. 8).</w:t>
      </w:r>
    </w:p>
    <w:p>
      <w:r>
        <w:rPr>
          <w:b/>
        </w:rPr>
        <w:t>E. 7.7</w:t>
      </w:r>
    </w:p>
    <w:p>
      <w:r>
        <w:t>Il convient encore de rappeler que ledit règlement ne confère pas aux demandeurs d'asile le droit de choisir l'Etat membre offrant, à leur avis, les meilleures conditions d'accueil comme Etat responsable de l'examen de leur demande d'asile (cf. ATAF 2010/45 consid. 8.3). Dans ce contexte, le souhait de l'intéressé de demeurer et d'étudier en Suisse n'est pas déterminant.</w:t>
      </w:r>
    </w:p>
    <w:p>
      <w:r>
        <w:rPr>
          <w:b/>
        </w:rPr>
        <w:t>E. 8</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Sa demande d'assistance judiciaire partielle ayant été admise, le 13 octobre 2023, il est cependant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