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E-5490/2024 vom 12. September 2024</w:t>
      </w:r>
    </w:p>
    <w:p>
      <w:r>
        <w:t>Bundesverwaltungsgericht, 2024-09-12, DE</w:t>
      </w:r>
    </w:p>
    <w:p>
      <w:r>
        <w:rPr>
          <w:b/>
        </w:rPr>
        <w:t xml:space="preserve">Quelle: </w:t>
      </w:r>
      <w:r>
        <w:t>https://mcp.opencaselaw.ch/entscheid/bvger_E-5490_2024</w:t>
      </w:r>
    </w:p>
    <w:p>
      <w:r>
        <w:t>FR: TAF E-5490/2024 du 12 septembre 2024</w:t>
      </w:r>
    </w:p>
    <w:p>
      <w:r>
        <w:t>IT: TAF E-5490/2024 del 12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als Verfügungsadressat zur Beschwerdeführung legitimiert (Art. 105 und Art. 108 Abs. 3 AsylG; Art. 48 Abs. 1 und Art. 52 Abs. 1 VwVG). Auf die Beschwerde ist einzutreten.</w:t>
      </w:r>
    </w:p>
    <w:p>
      <w:r>
        <w:rPr>
          <w:b/>
        </w:rPr>
        <w:t>E. 1.4</w:t>
      </w:r>
    </w:p>
    <w:p>
      <w:r>
        <w:t>Gemäss Art. 55 Abs. 1 VwVG kommt der Beschwerde von Gesetzes wegen aufschiebende Wirkung zu. Die Vorinstanz hat die aufschiebende Wirkung in der angefochtenen Verfügung nicht entzogen. Auf den Antrag, der Beschwerde sei die aufschiebende Wirkung zu erteilen, wird mangels Rechtsschutzinteresses nicht eingetreten.</w:t>
      </w:r>
    </w:p>
    <w:p>
      <w:r>
        <w:rPr>
          <w:b/>
        </w:rPr>
        <w:t>E. 2</w:t>
      </w:r>
    </w:p>
    <w:p>
      <w:r>
        <w:t>Der Beschwerdeführer beantragt zwar die Aufhebung der angefochtenen Verfügung, seine materiellen Rechtsbegehren und die Begründung der Beschwerde beziehen sich aber ausschliesslich auf die Unzulässigkeit und Unzumutbarkeit des Wegweisungsvollzuges. Gegenstand des vorliegenden Verfahrens bildet somit einzig der Vollzug der Wegweisung. Die Dispositivziffern 1 (Nichteintreten auf Asylgesuch) und 2 (verfügte Wegweisung) der angefochtenen Verfügung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Sie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5.1</w:t>
      </w:r>
    </w:p>
    <w:p>
      <w:r>
        <w:t>In der Beschwerde werden formelle Rügen erhoben, welche vorab zu beurteilen sind, da sie gegebenenfalls geeignet sind, eine Kassation der vorinstanzlichen Verfügung zu bewirken (vgl. BVGE 2013/34 E. 4.2; Kölz/Häner/Bertschi, Verwaltungsverfahren und Verwaltungsrechtspflege des Bundes, 3. Aufl. 2013, Rz. 1043 ff. m.w.H.). Der Beschwerdeführer moniert, die Vorinstanz habe sowohl den Untersuchungsgrundsatz als auch ihre Begründungspflicht verletzt, indem sie zum einen den medizinisch rechtserheblichen Sachverhalt sowie die Behandlungsmöglichkeiten in Bulgarien unvollständig abgeklärt und zum anderen die Gefahr einer Kettenabschiebung durch die bulgarischen Behörden nicht geprüft habe, obwohl er davon berichtet habe, zum Grenzübertritt in die C._______ gezwungen worden zu sein. Weiter sei die Vorinstanz ihrer Untersuchungs- respektive Begründungspflicht auch insoweit nicht nachgekommen, da sie sich nicht gebührend mit seiner Vulnerabilität, seinem Abhängigkeits-verhältnis zu seinen Geschwistern sowie dem desolaten Zustand der bulgarischen Psychiatrien auseinandergesetzt habe (unter Hinweis auf das Referenzurteil des BVGer F-7195/2018 vom 11. Februar 2020 und das Urteil D-5019/2022 vom 24. August 2023 E. 11.1 und E. 11.2).</w:t>
      </w:r>
    </w:p>
    <w:p>
      <w:r>
        <w:rPr>
          <w:b/>
        </w:rPr>
        <w:t>E. 5.2</w:t>
      </w:r>
    </w:p>
    <w:p>
      <w:r>
        <w:t>Entgegen der Auffassung des Beschwerdeführers hat sich die Vor-instanz in ihrer Verfügung sowohl einlässlich mit seiner gesundheitlichen Situation als auch der Situation von Personen mit einem Schutzstatus in Bulgarien, namentlich derjenigen von Personen mit subsidiärem Schutz, auseinandergesetzt und festgestellt, die bestehenden Unzulänglichkeiten würden nicht in einer Weise auftreten, welche darauf schliessen liesse Bulgarien sei grundsätzlich nicht gewillt oder nicht fähig, Schutzberechtigten die ihnen zustehenden Rechte und Ansprüche zu gewähren. Es hat dabei auf die geltenden EU-Richtlinien sowie die einschlägige nationale und internationale Rechtsprechung verwiesen (vgl. Verfügung des SEM vom 27. August 2024 Ziff. III/2). Diesbezüglich ist sodann anzumerken, dass sich die vom Beschwerdeführer genannten Urteile F-7195/2018 und D-5019/2022 mit der Situation von Dublin-Rückkehrern auseinandersetzen, was vorliegend gerade nicht der Fall ist. Ferner hat die Vorinstanz festgestellt, es sei nicht davon auszugehen, dass bei einer Überstellung des Beschwerdeführers nach Bulgarien eine Verletzung von Art. 3 EMRK oder des Non-Refoulement-Gebots drohe. Hinzu kommt, dass vorliegend aufgrund der sich aus der medizinischen Aktenlage ergebenden gesundheitlichen Beeinträchtigungen des Beschwerdeführers keine Veranlassung zu weiteren Abklärungen bestand (vgl. dazu nachfolgend E. 6.2.2). Damit ist sie der ihr obliegenden Untersuchungs-, Prüfungs- und Begründungspflicht (vgl. Art. 6 AsylG i.V.m. Art. 12 VwVG; Art. 29 und Art. 32 Abs. 1 VwVG; Art. 35 Abs. 1 VwVG) in genügender Weise nachgekommen, und es ist weder eine fehlerhafte Sachverhaltsfeststellung noch eine Verletzung der Begründungspflicht ersichtlich. Der Umstand, dass sich die Vorinstanz bei ihren Erwägungen auf andere als die vom Beschwerdeführer als relevant erachteten Quellen stützt respektive zu einer anderen Einschätzung der Lage kommt als der Beschwerdeführer, ändert daran nichts. Zudem ist festzuhalten, dass der Beschwerdeführer in seinen diesbezüglichen Vorbringen ganz überwiegend die Frage der Feststellung des rechtserheblichen Sachverhalts mit der Frage der rechtlichen Würdigung der Sache vermengt und dabei verkennt, dass das SEM seiner Begründungspflicht Genüge tut, wenn es im Rahmen der Begründung die wesentlichen Überlegungen nennt, welche es seinem Entscheid zugrunde legt.</w:t>
      </w:r>
    </w:p>
    <w:p>
      <w:r>
        <w:rPr>
          <w:b/>
        </w:rPr>
        <w:t>E. 5.3</w:t>
      </w:r>
    </w:p>
    <w:p>
      <w:r>
        <w:t>Nach dem Gesagten besteht keine Veranlassung, die angefochtene Verfügung aus formellen Gründen aufzuheben und die Sache an die Vorinstanz zurückzuweisen. Das entsprechende Eventualbegehren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aufnehmenden Staat aufgrund von Situationen wie Krieg, Bürgerkrieg, allgemeiner Gewalt und medizinischer Notlage konkret gefährdet sind. Gemäss Art. 6a AsylG besteht zugunsten sicherer Drittstaaten - wie Bulgarien einer ist - die Vermutung, dass diese ihre völkerrechtlichen Verpflichtungen, darunter im Wesentlichen das Refoulement-Verbot und grundlegende menschenrechtliche Garantien, einhalten.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Urteile des BVGer E-3453/2022 vom 27. Dezember 2022 E. 8.4 und E-6592/2020 vom 12. Januar 2021 E. 8.2, je m.w.H.).</w:t>
      </w:r>
    </w:p>
    <w:p>
      <w:r>
        <w:rPr>
          <w:b/>
        </w:rPr>
        <w:t>E. 6.2.1</w:t>
      </w:r>
    </w:p>
    <w:p>
      <w:r>
        <w:t>Der Beschwerdeführer hat in Bulgarien einen subsidiären Schutzstatus zugesprochen erhalten. Als Schutzberechtigter kann er sich auf die Garantien der Richtlinie 2011/95/EU des europäischen Parlaments und des Rates vom 13. Dezember 2011 (Qualifikationsrichtlinie) berufen - insbesondere die Regeln betreffend den Zugang zu Beschäftigung [Art. 26], Bildung [Art. 27], Sozialhilfeleistungen [Art. 29], Wohnraum [Art. 32] und medizinischer Versorgung [Art. 30] -, zu deren Einhaltung Bulgarien als EU-Mitgliedstaat völkerrechtlich verpflichtet ist. Aus den Akten ergeben sich keine Anhaltspunkte dafür, dass er für den Fall einer Rückkehr nach Bulgarien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Bulgarien für die gesamte Bevölkerung mitunter schwierig sind; dennoch ist unter diesen Umständen im heutigen Zeitpunkt nicht von einem «real risk» auszugehen, dass der Beschwerdeführer bei einer Rückkehr in diesen Staat einer menschenrechtswidrigen Behandlung ausgesetzt wäre. Auch unter Berücksichtigung der Schwächen des bulgarischen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 Daran ändern auch die Vorbringen des Beschwerdeführers betreffend die angeblich erlebten Vorkommnisse (Fingerabdruckabnahme unter Zwang, Inhaftierung, kein Zugang zu Dolmetschern/Rechtsvertretung/Medikamenten, Zwang zum Grenzübertritt) nichts, zumal er sich als Person mit subsidiärem Schutz in einer anderen Position befindet, als bei seiner ersten Einreise. Er hat denn auch selbst angegeben, er habe Bulgarien nach seinem Grenzübertritt in die C._______ nie mehr betreten (vgl. SEM-Akte [...]-18/2; [...]-37/5). Es ist künftig somit an ihm, gegebenenfalls die ihm zustehenden Unterstützungsleistungen und weiteren Rechte aufgrund seines Schutzstatus direkt bei den zuständigen bulgarischen Behörden einzufordern, falls notwendig auf dem Rechtsweg.</w:t>
      </w:r>
    </w:p>
    <w:p>
      <w:r>
        <w:rPr>
          <w:b/>
        </w:rPr>
        <w:t>E. 6.2.2</w:t>
      </w:r>
    </w:p>
    <w:p>
      <w:r>
        <w:t>Was die geltend gemachten gesundheitlichen Beeinträchtigungen betrifft, ist festzuhalten, dass eine zwangsweise Wegweisung von Personen mit gesundheitlichen Problemen nur ganz ausnahmsweise einen Verstoss gegen Art. 3 EMRK darstellt. Die geltend gemachten psychischen Probleme des Beschwerdeführers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 Dementsprechend handelt es sich bei ihm entgegen den beschwerdeweisen Ausführungen nicht um eine besonders vulnerable Person. Gemäss den vorliegenden medizinischen Akten litt der Beschwerdeführer bereits in seinem Heimatstaat unter psychischen Beschwerden und wurde deswegen mit Antidepressiva behandelt (vgl. SEM-Akte [...]-14/14; [...]-16/1; [...]-17/1; [...]-37/5). Aktuell besteht bei ihm gemäss neustem Arztbericht ein Verdacht auf (...), welcher ebenfalls mit Medikamenten behandelt wird (vgl. SEM-Akte [...]-31/1). Der Beschwerdeführer legte denn auch beschwerdeweise keine neuen Akten ins Recht, welche auf eine (erhebliche beziehungsweise relevante) Veränderung des Gesundheitszustandes hindeuten würden (vgl. Beschwerdebeilage 3). Es mag zwar sein, dass sich - wie beschwerdeweise ausgeführt - sein psychischer Gesundheitszustand aus Angst vor einer Rückführung nach Bulgarien und einer erneuten Trennung von seinen Geschwistern verschlechtern kann, dies ändert aber nichts daran, dass klarerweise nicht von einem derart gravierenden Krankheitsbild ausgegangen werden kann, dass die ausnahmsweise Annahme der Unzulässigkeit des Vollzugs der Wegweisung im Sinne der zitierten Rechtsprechung des EGMR gerechtfertigt wäre. Schliesslich ist verständlich, dass der Beschwerdeführer aufgrund der Anwesenheit seiner Geschwister in der Schweiz bleiben möchte, auch aufgrund seiner geltend gemachten gesundheitlichen Beeinträchtigung. Von einer Abhängigkeitsbeziehung zwischen den erwachsenen Geschwistern, welche im Sinne der massgeblichen Rechtsprechung des EGMR und des Bundesgerichtes unter den Schutz von Art. 8 EMRK fallen würde, ist aber aufgrund der Akten offensichtlich nicht auszugehen. Der Beschwerdeführer war denn auch im Stande, sich trotz seiner bereits in Syrien vorhandenen psychischen Beeinträchtigungen ohne jegliche Hilfe seiner Geschwister auf den Weg nach Europa zu machen.</w:t>
      </w:r>
    </w:p>
    <w:p>
      <w:r>
        <w:rPr>
          <w:b/>
        </w:rPr>
        <w:t>E. 6.2.3</w:t>
      </w:r>
    </w:p>
    <w:p>
      <w:r>
        <w:t>Nach dem Gesagten ist es dem Beschwerdeführer nicht gelungen, die Vermutung, dass Bulgarien seinen völkerrechtlichen Verpflichtungen nachkommt und die Wegweisung in diesen EU-Mitgliedstaat zulässig und zumutbar ist, umzustossen. Dementsprechend besteht auch keine Veranlassung zur Einholung individueller Garantien im Sinne des Subeventualantrags.</w:t>
      </w:r>
    </w:p>
    <w:p>
      <w:r>
        <w:rPr>
          <w:b/>
        </w:rPr>
        <w:t>E. 6.3</w:t>
      </w:r>
    </w:p>
    <w:p>
      <w:r>
        <w:t>Der Vollzug der Wegweisung ist schliesslich in Übereinstimmung mit der Vorinstanz als möglich zu erachten (vgl. Art. 83 Abs. 2 AIG).</w:t>
      </w:r>
    </w:p>
    <w:p>
      <w:r>
        <w:rPr>
          <w:b/>
        </w:rPr>
        <w:t>E. 6.4</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Das mit der Beschwerde gestellte Gesuch um Gewährung der unentgeltlichen Prozessführung ist abzuweisen, da die Begehren - wie sich aus den vorstehenden Erwägungen ergibt - von vornherein aussichtlos waren, weshalb die Voraussetzungen von Art. 65 Abs. 1 VwVG nicht erfüllt sind. Das Gesuch um Befreiung von der Kostenvorschusspflicht wird mit dem vorliegenden Entscheid in der Sache gegenstandslos.</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