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E-5486/2012 vom 14. November 2012</w:t>
      </w:r>
    </w:p>
    <w:p>
      <w:r>
        <w:t>Bundesverwaltungsgericht, 2012-11-14, DE</w:t>
      </w:r>
    </w:p>
    <w:p>
      <w:r>
        <w:rPr>
          <w:b/>
        </w:rPr>
        <w:t xml:space="preserve">Quelle: </w:t>
      </w:r>
      <w:r>
        <w:t>https://mcp.opencaselaw.ch/entscheid/bvger_E-5486_2012</w:t>
      </w:r>
    </w:p>
    <w:p>
      <w:r>
        <w:t>FR: TAF E-5486/2012 du 14 novembre 2012</w:t>
      </w:r>
    </w:p>
    <w:p>
      <w:r>
        <w:t>IT: TAF E-5486/2012 del 14 novembre 2012</w:t>
      </w:r>
    </w:p>
    <w:p>
      <w:pPr>
        <w:pStyle w:val="Heading2"/>
      </w:pPr>
      <w:r>
        <w:t>Regeste</w:t>
      </w:r>
    </w:p>
    <w:p>
      <w:r>
        <w:t>Flughafenverfahren (Asyl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fristgerecht eingereichte Beschwerde (Art. 108 Abs. 2 AsylG) ist, unter Vorbehalt der nachfolgenden Erwägungen, einzutreten.</w:t>
      </w:r>
    </w:p>
    <w:p>
      <w:r>
        <w:rPr>
          <w:b/>
        </w:rPr>
        <w:t>E. 2</w:t>
      </w:r>
    </w:p>
    <w:p>
      <w:r>
        <w:t>Auf Asylgesuche wird in der Regel nicht eingetreten, wenn Asylsuchende in einen sicheren Drittstaat nach Art. 6a Abs. 2 Bst. b AsylG zurückkehren können, in welchem sie sich vorher aufgehalten haben (Art. 34 Abs. 2 Bst. b AsylG). Nach Abs. 3 von Art. 34 AsylG findet Abs. 2 Bst. b keine Anwendung, wenn Personen, zu denen die asylsuchende Person enge Beziehungen hat, oder nahe Angehörige in der Schweiz leben (Bst. a); die asylsuchende Person offensichtlich die Flüchtlingseigenschaft nach Art. 3 erfüllt (Bst. b); oder Hinweise darauf bestehen, dass im Drittstaat kein effektiver Schutz vor Rückschiebung nach Art. 5 Abs. 1 AsylG besteht.</w:t>
      </w:r>
    </w:p>
    <w:p>
      <w:r>
        <w:rPr>
          <w:b/>
        </w:rPr>
        <w:t>E. 3</w:t>
      </w:r>
    </w:p>
    <w:p>
      <w:r>
        <w:t>Mit Entscheid vom 6. September 2002 hat die Schweizerische Asylrekurskommission (ARK) erkannt, die Nichteintretenstatbestände von Art. 32 bis 34 AsylG seien nicht als "Kann-Bestimmungen" formuliert und würden dem Bundesamt folglich kein Rechtsfolgeermessen einräumen. Die Vorinstanz müsse einen Nichteintretensentscheid fällen, wenn sie feststelle, dass ein Tatbestand der Art. 32 bis 34 AsylG erfüllt sei (vgl. Entscheide und Mittelungen der ARK [EMARK] 2002/15). Der Entscheid der ARK erging zum Nichteintretenstatbestand von Art. 32 AsylG, der die Rechtsfolge des Nichteintretens ohne Ausnahme vorsieht. Demgegenüber sieht Art. 34 Abs. 2 AsylG (in der Fassung vom 16. Dezember 2005, in Kraft seit 1. Januar 2008) vor, dass ein Nichteintreten lediglich "in der Regel" erfolgt, was Ausnahmen zulässt. Da die Rechtsfolge nicht zwingend ausgestaltet ist, verfügen die entscheidenden Behörden hier über einen gewissen Ermessensspielraum. Vorliegend hat sich die Vorinstanz nicht auf die Prüfung der Voraussetzungen des Nichteintretens nach Art. 34 AsylG beschränkt, sondern die Asylgesuche in der Sache mit voller Kognition geprüft. Den Beschwerdeführenden ist dadurch kein Nachteil entstanden. Der Umstand, dass die Vorinstanz die Asylgesuche an die Hand genommen und materiell geprüft hat, verletzt kein Bundesrecht, obwohl es die Vorinstanz unterlassen hat, zu begründen, weshalb sie vorliegend vom Regelfall (Nichteintreten) abgewichen ist. Nachfolgend ist zu prüfen, ob die Vorinstanz die Asylgesuche zu Recht abgewiesen hat.</w:t>
      </w:r>
    </w:p>
    <w:p>
      <w:r>
        <w:rPr>
          <w:b/>
        </w:rPr>
        <w:t>E. 4.1</w:t>
      </w:r>
    </w:p>
    <w:p>
      <w:r>
        <w:t>Gemäss Art. 2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 Nachteile gelten namentlich die Gefährdung des Leibes, des Lebens oder der Freiheit sowie Massnahmen, die einen unerträglichen psychischen Druck bewirken (Art. 3 AsylG).</w:t>
      </w:r>
    </w:p>
    <w:p>
      <w:r>
        <w:rPr>
          <w:b/>
        </w:rPr>
        <w:t>E. 4.2</w:t>
      </w:r>
    </w:p>
    <w:p>
      <w:r>
        <w:t>Die Vorinstanz kommt in der angefochtenen Verfügung zum Schluss, die Vorbringen der Beschwerdeführenden würden den Anforderungen an die Flüchtlingseigenschaft gemäss Art. 3 AsylG nicht standhalten. Zur Begründung führt sie aus, Amtsmissbrauch und Korruption seien in der Ukraine nach wie vor verbreitet. Dabei handle es sich indes nicht um staatliches Handeln, welches auf eine asylrelevante Verfolgungsmotivation zurückzuführen sei, sondern um Verfehlungen einzelner Beamter aus Bereicherungsabsicht. Auch die geltend gemachten wirtschaftlichen Schwierigkeiten stellten keine Verfolgung im Sinne von Art. 3 AsylG dar. Sodann sei der Beschwerdeführer als Ehegatte einer ukrainischen Staatsangehörigen im Besitze einer unbeschränkt gültigen Niederlassungsbewilligung für die Ukraine. Entgegen seiner Angaben habe er das Recht auf Bewegungsfreiheit wie ein ukrainischer Staatsangehöriger. Die Beschwerdeführenden könnten sich somit durch einen Wegzug in einen anderen Teil des Landes dem angeblichen Streit mit dem einflussreichen Aleviten entziehen.</w:t>
      </w:r>
    </w:p>
    <w:p>
      <w:r>
        <w:rPr>
          <w:b/>
        </w:rPr>
        <w:t>E. 4.3</w:t>
      </w:r>
    </w:p>
    <w:p>
      <w:r>
        <w:t>Die Beschwerdeführenden wiederholen in der Rechtsmitteleingabe auf den bereits aktenkundigen Sachverhalt. Damit setzen sie sich aber mit den Erwägungen der Vorinstanz nicht auseinander und zeigen insbesondere nicht auf, inwiefern die angefochtene Verfügung Bundesrecht verletzen oder aus einem anderen Grund zu beanstanden sein soll. Solches ist auch nicht ersichtlich. Um diesbezüglich Wiederholungen zu vermeiden, kann vollumfänglich auf die zutreffenden Erwägungen in der angefochtenen Verfügung verwiesen werden. Soweit die Beschwerdeführenden in der Rechtsmitteleingabe erstmals vorbringen, sie würden seit Kurzem von der ukrainischen Polizei gesucht, ist dies eine durch nichts belegte Behauptung, für die sich den Akten keine konkreten Hinweise entnehmen lassen. Auf Beschwerdeebene macht der Beschwerdeführer erstmals geltend, er habe die syrische Revolution durch die Verbreitung von Flugblättern und Facebook-Kommentare unterstützt. Anlässlich der Befragungen begründete der Beschwerdeführer sein Asylgesuch indes ausschliesslich mit Verfolgung in der Ukraine. Damit hat er den Streitgegenstand festgelegt. Folgerichtig hat die Vorinstanz eine allfällige Gefährdung und eine Rückschaffung in Bezug auf die Ukraine geprüft. Mit dem erstmaligen Vorbringen auf Beschwerdestufe, auch in Syrien einer asylrelevanten Gefährdung ausgesetzt zu sein, wird eine Streitgegenstandserweiterung vorgenommen. Eine Erweiterung des Streitgegenstandes über das Anfechtungsobjekt hinaus ist indes unzulässig (vgl. Christoph Auer, Streitgegenstand und Rügeprinzip im Spannungsfeld der verwaltungsrechtlichen Prozessmaximen, Bern 1997, S. 63). Die entsprechenden Vorbringen sind demnach unerheblich. Insoweit ist auf die Beschwerde nicht einzutreten. Die Beschwerdeführenden haben somit nichts vorgebracht, das geeignet wäre, die Flüchtlingseigenschaft nachzuweisen oder glaubhaft zu machen, woran auch die nachgereichten fremdsprachigen Kopien nichts zu ändern vermögen. Die Vorinstanz hat die Asylgesuche demnach zu Recht abgelehnt.</w:t>
      </w:r>
    </w:p>
    <w:p>
      <w:r>
        <w:rPr>
          <w:b/>
        </w:rPr>
        <w:t>E. 5</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Die Wegweisung ist nicht zu beanstanden.</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Nach Art. 83 Abs. 3 AuG ist der Vollzug nicht 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Beschwerdeführenden noch aus den Akten ergeben sich Anhaltspunkte dafür, dass sie für den Fall einer Ausschaffung in die Ukraine dort mit beachtlicher Wahrscheinlichkeit einer nach Art. 3 EMRK oder Art. 1 FoK verbotenen Strafe oder Behandlung ausgesetzt wären. Namentlich ist in diesem Zusammenhang darauf hinzuweisen, dass die Ukraine die EMRK am 11. September 1997 ratifiziert hat und damit zu deren Beachtung und Einhaltung verpflichtet ist. Für die vom Beschwerdeführer behauptete Abschiebung nach Syrien bestehen somit keine konkreten Anhaltspunkte.</w:t>
      </w:r>
    </w:p>
    <w:p>
      <w:r>
        <w:rPr>
          <w:b/>
        </w:rPr>
        <w:t>E. 7.2</w:t>
      </w:r>
    </w:p>
    <w:p>
      <w:r>
        <w:t>Nach Art. 83 Abs. 4 AuG kann der Vollzug für Ausländerinnen und Ausländer unzumutbar sein, wenn sie im Heimat- oder Herkunftsstaat auf Grund von Situationen wie Krieg, Bürgerkrieg, allgemeiner Gewalt und medizinischer Notlage konkret gefährdet sind. In der Rechtsmitteleingabe bringen die Beschwerdeführenden nichts vor, was den Vollzug der Wegweisung als unzumutbar erscheinen liesse. Um Wiederholungen zu vermeiden, kann auf die zutreffenden Erwägungen in der angefochtenen Verfügung verwiesen werden. Der Vollzug der Wegweisung ist zumutbar.</w:t>
      </w:r>
    </w:p>
    <w:p>
      <w:r>
        <w:rPr>
          <w:b/>
        </w:rPr>
        <w:t>E. 7.3</w:t>
      </w:r>
    </w:p>
    <w:p>
      <w:r>
        <w:t>Im Rahmen der Mitwirkungspflicht (Art. 8 AsylG) obliegt es den Beschwerdeführenden - welche laut ihren eigenen Angaben ihre Reisedokumente bei der Einreise in die Schweiz absichtlich zerstört haben - bei der Beschaffung der notwendigen Reisedokumente für eine Rückkehr in die Ukraine mitzuwirken (BVGE 2008/34 E. 12), weshalb der Vollzug der Wegweisung im Sinne von Art. 83 Abs. 2 AuG möglich ist.</w:t>
      </w:r>
    </w:p>
    <w:p>
      <w:r>
        <w:rPr>
          <w:b/>
        </w:rPr>
        <w:t>E. 7.4</w:t>
      </w:r>
    </w:p>
    <w:p>
      <w:r>
        <w:t>Zusammenfassend hat die Vorinstanz den Vollzug der Wegweisung zutreffend als zulässig, zumutbar und möglich bezeichnet, weshalb eine vorläufige Aufnahme der Beschwerdeführenden ausser Betracht fällt.</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600. -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