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E-5484/2025 vom 20. Juni 2025</w:t>
      </w:r>
    </w:p>
    <w:p>
      <w:r>
        <w:t>Bundesverwaltungsgericht, 2025-06-20, DE</w:t>
      </w:r>
    </w:p>
    <w:p>
      <w:r>
        <w:rPr>
          <w:b/>
        </w:rPr>
        <w:t xml:space="preserve">Quelle: </w:t>
      </w:r>
      <w:r>
        <w:t>https://mcp.opencaselaw.ch/entscheid/bvger_E-5484_2025_d20250620</w:t>
      </w:r>
    </w:p>
    <w:p>
      <w:r>
        <w:t>FR: TAF E-5484/2025 du 20 juin 2025</w:t>
      </w:r>
    </w:p>
    <w:p>
      <w:r>
        <w:t>IT: TAF E-5484/2025 del 20 giugno 2025</w:t>
      </w:r>
    </w:p>
    <w:p>
      <w:pPr>
        <w:pStyle w:val="Heading2"/>
      </w:pPr>
      <w:r>
        <w:t>Regeste</w:t>
      </w:r>
    </w:p>
    <w:p>
      <w:r>
        <w:t>Asyl und Wegweisung (Mehrfachgesuch) | Asyl und Wegweisung (Mehrfachgesuch); Verfügung des SEM vom 20. Juni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(vgl. Art. 83 Bst. d Ziff. 1 BGG; Art. 105 AsylG [SR 142.31]).</w:t>
      </w:r>
    </w:p>
    <w:p>
      <w:r>
        <w:rPr>
          <w:b/>
        </w:rPr>
        <w:t>E. 1.2</w:t>
      </w:r>
    </w:p>
    <w:p>
      <w:r>
        <w:t>Der Beschwerdeführer ist als Verfügungsadressat zur Beschwerdefüh- rung legitimiert (Art. 48 VwVG). Auf die frist- und formgerecht eingereichte Beschwerde (Art. 108 Abs. 6 AsylG und Art. 52 Abs. 1 VwVG) ist nach der fristgerechten Bezahlung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Das SEM hält in der angefochtenen Verfügung fest, beim von Be- schwerdeführer als Haftbefehl bezeichneten Dokument handle es sich ent- gegen seinen Ausführungen lediglich um einen Antrag auf Ausstellung ei- nes Vorführbefehls, dessen Zweck es sei, ihn einzuvernehmen und danach wieder freizulassen, während sich ein Haftbefehl nicht bei den Akten be- finde. Ferner würden die eingereichten türkischen Justizdokumente über keinerlei (verifizierbare) Sicherheitsmerkmale verfügen, weshalb sie sich sehr einfach fälschen liessen. Es sei im Zusammenhang mit solchen Do- kumenten mittlerweile denn auch öffentlich bekannt, dass sie in der Türkei problemlos gegen Entgelt beschafft werden könnten. Die Frage, ob es sich um echte Verfahrensdokumente handle, könne letztlich jedoch offenblei- ben, da das vorgebrachte Strafverfahren ohnehin keine flüchtlingsrechtli- che Relevanz aufweise. Der Beschwerdeführer sei strafrechtlich nicht vor- belastet und weise kein relevantes politisches Profil auf, weshalb keine</w:t>
      </w:r>
    </w:p>
    <w:p>
      <w:r>
        <w:t>E-5484/2025 Seite 6 beachtliche Wahrscheinlichkeit bestehe, dass er zu einer unbedingten Frei- heitsstrafe verurteilt würde. Zwar sei er am (…) 2023 zu einer Freiheits- strafe von fünf Monaten mit Aufschub der Urteilsverkündung verurteilt wor- den, wobei die Bewährungszeit auf fünf Jahre festgesetzt worden sei. Die blosse Eröffnung eines Ermittlungsverfahrens habe aber keinen Einfluss auf dieses Urteil. Es müsse zudem darauf hingewiesen werden, dass sich das neu eröffnete Strafverfahren noch in der Ermittlungsphase befinde und es völlig offen sei, ob es überhaupt zur Anklageerhebung komme oder ob das Verfahren wieder eingestellt werde. Darüber hinaus würden auch keine Hinweise auf eine in absehbarer Zeit drohende Untersuchungshaft vorlie- gen. Schliesslich sei darauf hinzuweisen, dass der Beschwerdeführer die Beiträge in den sozialen Medien, auf welche sich das Strafverfahren be- ziehe, erst nach seinem negativen Asylentscheid in der Schweiz geteilt habe, was dafürspreche, dass er das in der Türkei gegen ihn hängige Straf- verfahren mit hoher Wahrscheinlichkeit bewusst eingeleitet habe oder habe einleiten lassen, um subjektive Nachfluchtgründe zu schaffen, wobei eine solche Vorgehensweise als rechtsmissbräuchlich zu bewerten sei. Dem Beschwerdeführer sei es somit nicht gelungen aufzuzeigen, dass ihm bei einer Rückkehr in die Türkei wegen diesen Umständen mit erheblicher Wahrscheinlichkeit und in absehbarerer Zukunft eine flüchtlingsrechtlich relevante Verfolgung drohen würde. Auch das Referenzschreiben seines Freundes, das als reines Gefälligkeitsschreiben zu bewerten sei, sowie das Schreiben seines Anwaltes, welches im Wesentlichen die Argumente des Gesuchs bestätige, würden nicht zu einer anderen Bewertung der Sach- lage führen. Im Übrigen würden auch die eingereichten Links und Verweise zu Berichten zur Menschenrechtslage für kurdische Aktivisten und Regie- rungskritiker in der Türkei sowie die erwähnten Urteile des Bundesverwal- tungsgerichts und des Europäischen Gerichtshof für Menschenrechte keine begründete Furcht vor Verfolgung zu belegen vermögen.</w:t>
      </w:r>
    </w:p>
    <w:p>
      <w:r>
        <w:rPr>
          <w:b/>
        </w:rPr>
        <w:t>E. 4.2</w:t>
      </w:r>
    </w:p>
    <w:p>
      <w:r>
        <w:t>In der Beschwerdeschrift entgegnet der Beschwerdeführer im Wesent- lichen, er habe sein Asylvorbringen in sich kohärent, plausibel und mit der bekannten Lage im Herkunftsland vereinbar geschildert. Zudem würden seine Vorbringen durch objektive Beweismittel und aktuelle Berichte inter- nationaler Organisationen gestützt. Ferner müsse berücksichtigt werden, dass er sein Gesuch in einem gesundheitlich belasteten Zustand und ohne anwaltliche Unterstützung eingereicht habe. Der vorgelegte Haftbefehl im Verfahren wegen Präsidentenbeleidigung erfülle sodann sämtliche Merk- male eines authentischen amtlichen Dokuments der türkischen Justiz und es bestünden keine konkreten Anhaltspunkte, die auf eine Fälschung oder inhaltliche Unstimmigkeit des Dokuments hindeuten würden. Der</w:t>
      </w:r>
    </w:p>
    <w:p>
      <w:r>
        <w:t>E-5484/2025 Seite 7 Haftbefehl sei denn auch entgegen den Ausführungen der Vorinstanz als erstzunehmendes Gefährdungsmerkmal zu werten, zumal der Beschwer- deführer im Falle einer Rückkehr in die Türkei mit einer sofortigen Fest- nahme rechnen müsse. Die gegenteilige Einschätzung des SEM verkenne die Realität politischer Verfolgung in autoritären Staaten wie der Türkei in mehrfacher Hinsicht. Es sei nicht entscheidend, ob der Beschwerdeführer eine herausgehobene Stellung innerhalb einer politischen Organisation in- negehabt habe, sondern ob seine Handlungen und Äusserungen vom Staat als oppositionell interpretiert und entsprechend sanktioniert würden, was vorliegend der Fall sei. Zudem habe der Beschwerdeführer dargelegt, dass seine Familie nach seiner Ausreise mehrfach von staatlichen Stellen aufgesucht worden sei, wobei diese Nachforschungen nicht als neutrale Verwaltungsakte zu werten seien, sondern im repressiven Kontext der Tür- kei als gezielte Einschüchterung interpretiert werden müssen. So habe das Bundesverwaltungsgericht denn auch in ständiger Rechtsprechung aner- kannt, dass auch indirekte Verfolgung über Angehörige asylrechtlich rele- vant sein können. Schliesslich drohe dem Beschwerdeführer bei einer Rückkehr in die Türkei nicht nur eine neue Strafverfolgung, sondern auch die Vollstreckung der früheren Freiheitsstrafe, wobei die Kombination bei- der Verfahren das Risiko einer tatsächlichen Inhaftierung und menschen- rechtswidrigen Behandlung in erheblichem Masse erhöhe. Im Übrigen habe sich der Beschwerdeführer öffentlich und wiederholt regierungskri- tisch geäussert, unter anderem durch seinen Asylantrag, die Offenlegung sensibler Informationen sowie durch die Beteiligung an politischen Veran- staltungen im Exil. Es sei allgemein dokumentiert, dass die Türkei exilpoli- tisches Verhalten überwache und sanktioniere, wobei bereits die Einrei- chung eines Asylgesuchs häufig als illoyaler Akt wahrgenommen werde, was bei einer Rückkehr ernsthafte Konsequenzen nach sich ziehen könne.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E-5484/2025 Seite 8</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Den eingereichten Beweismitteln zufolge ist gegen den Beschwerde- führer ein Ermittlungsverfahren wegen Präsidentenbeleidigung (Untersu- chungs-Nr. […]) eingeleitet worden. In diesem Zusammenhang ist gemäss Ausführungen des Beschwerdeführers ein Haftbefehl gegen ihn erlassen worden. Das Bundesverwaltungsgericht hat im Koordinationsentscheid E-4103/2024 vom 8. November 2024 (als Referenzurteil publiziert) festge- halten, dass allein die Tatsache, dass in der Türkei staatsanwaltschaftliche Ermittlungsverfahren wegen «Präsidentenbeleidigung» hängig sind, nicht zur Annahme führe, Betroffene hätten generell einen Politmalus zu be- fürchten. Im Einzelfall müsse indes geprüft werden, ob Hinweise auf einen individuellen Politmalus gegeben seien (insbesondere a.a.O. E. 8.7.3 und E. 8.8). Eine mit einem Politmalus behaftete Strafverfolgung des Be- schwerdeführers ist vorliegend jedoch nicht wahrscheinlich und entspre- chend zu verneinen. Das voraussichtliche Verhalten der türkischen Behör- den in einer solchen Situation lässt sich naturgemäss zwar nicht mit letzter Genauigkeit vorhersagen. Das politische Engagement des Beschwerde- führers, welches grösstenteils auf seine Studienzeit zwischen den Jahren (…) und (…) zurückgeht, spricht jedoch nicht dafür, er hätte eine längere, unbedingt vollziehbare Freiheitsstrafe zu befürchten. Zudem führt auch die Berücksichtigung seiner Verurteilung im Jahr 2023 wegen der Teilnahme an einer illegalen Demonstration zu keiner anderen Einschätzung, zumal die Freiheitsstrafe von fünf Monaten unter Ansetzung einer Bewährungs- frist aufgeschoben wurde und er in einem weiteren Verfahren wegen Ter- rorpropaganda freigesprochen wurde. Vor diesem Hintergrund kann in</w:t>
      </w:r>
    </w:p>
    <w:p>
      <w:r>
        <w:t>E-5484/2025 Seite 9 Übereinstimmung mit den Ausführungen der Vorinstanz offengelassen werden, ob es sich bei den eingereichten türkischen Verfahrensdokumen- ten um echte Beweismittel handelt (vgl. etwa Urteile des BVGer D- 920/2024 vom 7. Oktober 2024 E. 6.3; E-5158/2024 vom 3. Oktober 2024 E. 6.3; E-3923/2024 vom 1. Oktober 2024 E. 7.1, je m.w.H.). Es ist in die- sem Zusammenhang jedoch dennoch darauf hinzuweisen, dass gewisse Zweifel an deren Echtheit bestehen, nachdem der Beschwerdeführer in seinem Mehrfachgesuch vom 1. April 2025 ausführte, es sei im Jahr 2024 ein Haftbefehl gegen ihn erlassen worden, nach zweimaliger expliziter Auf- forderung der Vorinstanz dann jedoch ein auf den (…) 2025 datiertes, also erst nach Einreichung seines Mehrfachgesuchs entstandenes, Dokument zu den Akten reichte. Diesen Widerspruch konnte der Beschwerdeführer auch auf Beschwerdeebene nicht ausräumen, zumal nicht ersichtlich ist, inwiefern sich diese zeitliche Diskrepanz durch Überforderung des Be- schwerdeführers in einer psychisch angespannten Situation erklären las- sen solle. Das SEM hat zudem zutreffend festgehalten, dass es sich bei dem in Frage stehenden Dokument lediglich um einen Antrag auf Ausstel- lung eines Vorführbefehls handelt, dessen Zweck es ist, den Beschwerde- führer einzuvernehmen und anschliessend freizulassen, womit seine Be- fürchtung, bei der Rückkehr in die Türkei sofort inhaftiert zu werden, ohne- hin als nicht begründet zu erachten ist. An dieser Einschätzung vermögen denn auch die Ausführungen des Beschwerdeführers, einige seiner Studi- enkollegen würden regelmässig zu seiner Person befragt und seine Fami- lie würde bedroht werden, nichts zu ändern, zumal sich diese Vorbringen lediglich auf Aussagen von Drittpersonen stützen, welche praxisgemäss für sich alleine keine begründete Furcht vor zukünftiger Verfolgung zu belegen vermögen. Auch das Referenzschreiben seines Freundes, das als reines Gefälligkeitsschreiben zu bewerten ist, sowie das Schreiben seines Anwal- tes führen in Übereinstimmung mit den Ausführungen der Vorinstanz nicht zu einer anderen Bewertung der Sachlage.</w:t>
      </w:r>
    </w:p>
    <w:p>
      <w:r>
        <w:rPr>
          <w:b/>
        </w:rPr>
        <w:t>E. 6.3</w:t>
      </w:r>
    </w:p>
    <w:p>
      <w:r>
        <w:t>Betreffend die vom Beschwerdeführer thematisierten Berichte zur poli- tischen Lage in der Türkei ist sodann festzuhalten, dass diese nicht eine auf den Einzelfall des Beschwerdeführers bezogene Situation begründen und keine Abweichung von der aktuellen Einschätzung der Situation in der Türkei rechtfertigen. Aus den erwähnten Urteilen des Bundesverwaltungs- gerichts und des Europäischen Gerichtshofs für Menschenrechte vermag er ebenfalls nichts zu seinen Gunsten abzuleiten.</w:t>
      </w:r>
    </w:p>
    <w:p>
      <w:r>
        <w:rPr>
          <w:b/>
        </w:rPr>
        <w:t>E. 6.4</w:t>
      </w:r>
    </w:p>
    <w:p>
      <w:r>
        <w:t>Bezüglich der erst auf Beschwerdeebene geltend gemachten, weder substanziierten noch belegten exilpolitischen Aktivitäten lassen sich</w:t>
      </w:r>
    </w:p>
    <w:p>
      <w:r>
        <w:t>E-5484/2025 Seite 10 schliesslich keine konkreten Anhaltspunkte dafür entnehmen, dass der Be- schwerdeführer deshalb das Interesse der türkischen Behörden auf sich gezogen haben könnte. Unter Berücksichtigung der gesamten Akten be- steht vor diesem Hintergrund kein Anlass zur weitergehenden Prüfung sub- jektiver Nachfluchtgründe.</w:t>
      </w:r>
    </w:p>
    <w:p>
      <w:r>
        <w:rPr>
          <w:b/>
        </w:rPr>
        <w:t>E. 6.5</w:t>
      </w:r>
    </w:p>
    <w:p>
      <w:r>
        <w:t>Zusammenfassend hat die Vorinstanz die Flüchtlingseigenschaft des Beschwerdeführers zu Recht verneint und das Mehrfachgesuch abgewie- 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Das SEM führt in der angefochtenen Verfügung eingehend aus, wes- halb der Vollzug der Wegweisung vorliegend zulässig, zumutbar und mög- lich ist, wobei es auf die allgemeine Lage in der Türkei sowie die persönli- che und insbesondere gesundheitliche Situation des Beschwerdeführers eingegangen ist. Weshalb die Erwägungen des SEM nicht zutreffend sein sollen, wird in der Beschwerde nicht dargelegt und ist auch nicht ersichtlich. Es kann deshalb vollumfänglich auf die entsprechenden Erwägungen in der angefochtenen Verfügung verwiesen werden, welchen sich das Bun- desverwaltungsgericht anschliesst. Eine Anordnung der vorläufigen Auf- nahme fällt nach dem Gesagten ausser Betracht (Art. 83 Abs. 1–4 AIG [SR 142.20]).</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Bei diesem Ausgang des Verfahrens sind die Kosten von Fr. 2'000.– (Art. 1–3 des Reglements vom 21. Februar 2008 über die Kosten und Ent- schädigungen vor dem Bundesverwaltungsgericht [VGKE, SR 173.320.2]) dem Beschwerdeführer aufzuerlegen (Art. 63 Abs. 1 und 5 VwVG), wobei der am 3. September 2025 in gleicher Höhe geleistete Kostenvorschuss zur Bezahlung der Verfahrenskosten zu verwenden ist.</w:t>
      </w:r>
    </w:p>
    <w:p>
      <w:r>
        <w:t>E-5484/2025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