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E-5481/2020 vom 10. August 2022</w:t>
      </w:r>
    </w:p>
    <w:p>
      <w:r>
        <w:t>Bundesverwaltungsgericht, 2022-08-10, DE</w:t>
      </w:r>
    </w:p>
    <w:p>
      <w:r>
        <w:rPr>
          <w:b/>
        </w:rPr>
        <w:t xml:space="preserve">Quelle: </w:t>
      </w:r>
      <w:r>
        <w:t>https://mcp.opencaselaw.ch/entscheid/bvger_E-5481_2020</w:t>
      </w:r>
    </w:p>
    <w:p>
      <w:r>
        <w:t>FR: TAF E-5481/2020 du 10 août 2022</w:t>
      </w:r>
    </w:p>
    <w:p>
      <w:r>
        <w:t>IT: TAF E-5481/2020 del 10 agosto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Beschwerden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E-5479/2020 E-5481/2020</w:t>
      </w:r>
    </w:p>
    <w:p>
      <w:r>
        <w:t>Seite 5</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die vorliegenden Verfahren gilt das bisherige Recht (vgl. Abs. 1 der Übergangsbestimmungen zur Änderung des AsylG vom 25. September 2015).</w:t>
      </w:r>
    </w:p>
    <w:p>
      <w:r>
        <w:rPr>
          <w:b/>
        </w:rPr>
        <w:t>E. 1.4</w:t>
      </w:r>
    </w:p>
    <w:p>
      <w:r>
        <w:t>Die Beschwerden sind frist- und formgerecht eingereicht worden. Die Beschwerdeführer haben am Verfahren vor der Vorinstanz teilgenommen, sind durch die angefochtenen Verfügungen besonders berührt und haben ein schutzwürdiges Interesse an deren Aufhebung beziehungsweise Ände- rung. Sie sind daher zur Einreichung der Beschwerde legitimiert (Art. 105 und aArt. 108 Abs. 1 AsylG; Art. 48 Abs. 1 sowie Art. 52 Abs. 1 VwVG). Auf die Beschwerden ist einzutreten.</w:t>
      </w:r>
    </w:p>
    <w:p>
      <w:r>
        <w:rPr>
          <w:b/>
        </w:rPr>
        <w:t>E. 1.5</w:t>
      </w:r>
    </w:p>
    <w:p>
      <w:r>
        <w:t>Aufgrund der aktuellen Verfahrenskonstellation und des engen persön- lichen und sachlichen Zusammenhangs werden die Beschwerdeverfahren E-5479/2020 und E-5481/2020 vereinigt und es ist in einem Urteil über diese zu entscheiden.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111 Bst. e AsylG). Wie nachstehend aufgezeigt wird, handelt es sich vorliegend um Beschwerden, die – mit Be- zug auf den Rückweisungsantrag der Beschwerdeführenden – offensicht- lich begründet geworden sind, weshalb das Urteil nur summarisch zu be- gründen ist (Art. 111a Abs. 2 AsylG).</w:t>
      </w:r>
    </w:p>
    <w:p>
      <w:r>
        <w:rPr>
          <w:b/>
        </w:rPr>
        <w:t>E. 4</w:t>
      </w:r>
    </w:p>
    <w:p>
      <w:r>
        <w:t>Nachdem die Beschwerdeführenden mit Verfügungen des SEM vom 18. Mai 2022 wegen Unzumutbarkeit des Wegweisungsvollzuges wieder- erwägungsweise vorläufig in der Schweiz aufgenommen wurden, sind die vorliegenden Beschwerden bezüglich der Ziffern 4 und 5 der Dispositive der angefochtenen Verfügungen gegenstandslos geworden. Beschwerde- gegenstand bildet mithin nur die Frage, ob die Vorinstanz zu Recht die Flüchtlingseigenschaft der Beschwerdeführenden verneint, die Asylgesu- che abgewiesen und ihre Wegweisung aus der Schweiz angeordnet hat.</w:t>
      </w:r>
    </w:p>
    <w:p>
      <w:r>
        <w:t>E-5479/2020 E-5481/2020</w:t>
      </w:r>
    </w:p>
    <w:p>
      <w:r>
        <w:t>Seite 6</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den frauenspezifischen Fluchtgründen ist Rechnung zu tragen (Art. 3 Abs. 2 AsylG).</w:t>
      </w:r>
    </w:p>
    <w:p>
      <w:r>
        <w:rPr>
          <w:b/>
        </w:rPr>
        <w:t>E. 6.1</w:t>
      </w:r>
    </w:p>
    <w:p>
      <w:r>
        <w:t>Im Verwaltungs- und namentlich im Asylverfahren gilt der Unter- suchungsgrundsatz, das heisst die Behörde stellt den rechtserheblichen Sachverhalt von Amtes wegen fest (Art. 6 AsylG i.V.m. Art. 12 VwVG; vgl. Art. 106 Abs. 1 Bst. b AsylG). Für das erstinstanzliche Asylverfahren bedeutet dies, dass das SEM zur richtigen und vollständigen Ermittlung und zur Feststellung des rechtserheblichen Sachverhalts verpflichtet ist und auch nach allen Elementen zu forschen hat, die zugunsten der asyl- suchenden Person sprechen. Dabei muss die Behörde die für das Verfah- ren erforderlichen Sachverhaltsunterlagen beschaffen, die rechtlich rele- vanten Umstände abklären und darüber ordnungsgemäss Beweis führen (vgl. dazu auch Art. 30–33 VwVG). Der Untersuchungsgrundsatz gilt nicht uneingeschränkt, zumal er sein Korrelat in der Mitwirkungspflicht des Asyl- suchenden findet (Art. 13 VwVG und Art. 8 AsylG; vgl. CHRISTOPH AUER, in: Auer/Müller/Schindler [Hrsg.], Kommentar zum Bundesgesetz über das Verwaltungsverfahren [VwVG], 2. Aufl. 2019, Art. 12 Rz. 9; BVGE 2012/21 E. 5.1).</w:t>
      </w:r>
    </w:p>
    <w:p>
      <w:r>
        <w:rPr>
          <w:b/>
        </w:rPr>
        <w:t>E. 6.2</w:t>
      </w:r>
    </w:p>
    <w:p>
      <w:r>
        <w:t>Die Situation in der Ukraine hat sich infolge der Invasion durch die russischen Streitkräfte ab Februar 2022 erheblich verändert. Der Ausgang dieses Angriffskriegs der Russischen Föderation ist offen. Bereits die heute feststellbaren Veränderungen sind geeignet, die Beurteilung der Frage zu beeinflussen, ob die Beschwerdeführenden die Flüchtlingseigenschaft er- füllen und ihnen Asyl zu gewähren ist; dies namentlich im Hinblick auf die Frage der Schutzfähigkeit und des Schutzwillens der ukrainischen Behör- den, zumal der Beschwerdeführer gemäss seinen Angaben russischer Ethnie und Muttersprache ist (und ursprünglich aus der Krim stammt, vgl. Protokoll BzP A5 S. 4). Zum heutigen – für den vorliegenden Entscheid massgeblichen Zeitpunkt – muss festgestellt werden, dass der rechtser- hebliche Sachverhalt hinsichtlich der Situation in der Ukraine und einer</w:t>
      </w:r>
    </w:p>
    <w:p>
      <w:r>
        <w:t>E-5479/2020 E-5481/2020</w:t>
      </w:r>
    </w:p>
    <w:p>
      <w:r>
        <w:t>Seite 7 allfälligen Gefährdung der Beschwerdeführenden im Falle ihrer Rückkehr in ihren Heimatstaat sich aus den Akten nicht ergibt, weshalb sich das vor- liegende Verfahren als nicht entscheidreif erweist.</w:t>
      </w:r>
    </w:p>
    <w:p>
      <w:r>
        <w:rPr>
          <w:b/>
        </w:rPr>
        <w:t>E. 7.1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(vgl. BVGE 2012/21 E. 5). Das Gericht kann und soll aber die Grundlagen des rechtserheblichen Sachverhalts nicht gleichsam an Stelle der verfügenden Verwaltungsbehörde erheben, zumal die Partei bei einem solchen Vorgehen eine Instanz verlieren würde. Vor diesem Hintergrund erscheint es im vorliegenden Fall nicht angebracht, die fehlende Entscheidungsreife durch die Beschwerdeinstanz herzustel- len, zumal der Ausgang des Ukrainekriegs zurzeit offen ist und die voraus- sichtlich erforderlichen Abklärungen bezüglich Umfang und Dauer den für das Gericht vertretbaren Aufwand übersteigen werden (vgl. etwa auch das Urteil BVGer E-257/2022 vom 8. Juni 2022 S. 4 ff.). Den Eventual- anträgen der Beschwerdeführenden auf Rückweisung der Sache an die Vorinstanz ist damit zu entsprechen.</w:t>
      </w:r>
    </w:p>
    <w:p>
      <w:r>
        <w:rPr>
          <w:b/>
        </w:rPr>
        <w:t>E. 8</w:t>
      </w:r>
    </w:p>
    <w:p>
      <w:r>
        <w:t>Die Beschwerden sind somit gutzuheissen, soweit sie nicht gegenstands- los geworden sind. Die Verfügungen vom 6. Oktober 2020 sind betreffend die Ziffern 1 bis 3 aufzuheben und die Sache im Sinne der Erwägungen einem neuen Entscheid zuzuführen.</w:t>
      </w:r>
    </w:p>
    <w:p>
      <w:r>
        <w:rPr>
          <w:b/>
        </w:rPr>
        <w:t>E. 9</w:t>
      </w:r>
    </w:p>
    <w:p>
      <w:r>
        <w:t>Bei diesem Ausgang der Verfahren sind keine Kosten aufzuerlegen (Art. 63 Abs. 1 und 2 VwVG).</w:t>
      </w:r>
    </w:p>
    <w:p>
      <w:r>
        <w:rPr>
          <w:b/>
        </w:rPr>
        <w:t>E. 10</w:t>
      </w:r>
    </w:p>
    <w:p>
      <w:r>
        <w:t>Den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Der amtliche Rechtsbeistand</w:t>
      </w:r>
    </w:p>
    <w:p>
      <w:r>
        <w:t>E-5479/2020 E-5481/2020</w:t>
      </w:r>
    </w:p>
    <w:p>
      <w:r>
        <w:t>Seite 8 hat mit den beiden Eingaben vom 30. Juni 2021 jeweils Kostennoten zu den Akten gereicht, in denen ein zeitlicher Aufwand für beide Verfahren von insgesamt 43.75 Honorarstunden geltend gemacht wird. Indessen stellen die Honorarnoten auch Leistungen in Rechnung, die das erstinstanzliche Verfahren betreffen und nicht zu entschädigen sind. Selbst der nach Abzug dieser Leistungen verbleibende Zeitaufwand erscheint den konkreten Umständen der (komplexen) Beschwerdeverfahren nicht vollumfänglich angemessen: Der notwendige Vertretungsaufwand ist – unter Berücksich- tigung der Eingaben nach Einreichung der Kostennote und der mass- gebenden Berechnungsgrundlagen (Art. 7 ff. VGKE) – für die beiden Ver- fahren mit insgesamt 25 Stunden anzunehmen und die durch das SEM zu vergütende Parteientschädigung demnach auf Fr. 6900.– (inkl. Auslagen und Mehrwertsteueranteil) festzusetzen.</w:t>
      </w:r>
    </w:p>
    <w:p>
      <w:r>
        <w:t>(Dispositiv nächste Seite)</w:t>
      </w:r>
    </w:p>
    <w:p>
      <w:r>
        <w:t>E-5479/2020 E-5481/2020</w:t>
      </w:r>
    </w:p>
    <w:p>
      <w:r>
        <w:t>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