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E-547/2024 vom 29. Januar 2024</w:t>
      </w:r>
    </w:p>
    <w:p>
      <w:r>
        <w:t>Bundesverwaltungsgericht, 2024-01-29, DE</w:t>
      </w:r>
    </w:p>
    <w:p>
      <w:r>
        <w:rPr>
          <w:b/>
        </w:rPr>
        <w:t xml:space="preserve">Quelle: </w:t>
      </w:r>
      <w:r>
        <w:t>https://mcp.opencaselaw.ch/entscheid/bvger_E-547_2024</w:t>
      </w:r>
    </w:p>
    <w:p>
      <w:r>
        <w:t>FR: TAF E-547/2024 du 29 janvier 2024</w:t>
      </w:r>
    </w:p>
    <w:p>
      <w:r>
        <w:t>IT: TAF E-547/2024 del 29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Asylgesetz nichts anderes bestimmt (Art. 37 VGG und Art. 6 AsylG). Die Beschwerde am Bundesverwaltungsgericht ist vorliegend zulässig (Art. 105 AsylG; Art. 31 ff. VGG) und die übrigen Sachurteilsvoraussetzungen sind erfüllt (Art. 48 Abs. 1 und 52 VwVG; Art. 108 Abs. 3 AsylG). Auf die Beschwerde ist einzutreten.</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Art. 3 Abs. 1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2.2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3.1</w:t>
      </w:r>
    </w:p>
    <w:p>
      <w:r>
        <w:t>Der Beschwerdeführer führte als Argument gegen die beabsichtigte Überstellung nach Österreich an, die Schweiz sei von Beginn an sein Zielland gewesen. Er habe in Österreich kein Asylgesuch einreichen wollen und sei dort zur Abgabe von Fingerabdrücken gezwungen worden. Nach der Daktyloskopierung hätte er in die Asylunterkunft gehen sollen; da er nicht gewusst habe, wo sich diese befinde, sei er zunächst bei einem Freund untergekommen und habe danach im Freien beziehungsweise in einem leerstehenden Gebäude gelebt. Er sei ausserdem von Mitgliedern der Drogenmafia geschlagen und verletzt worden.</w:t>
      </w:r>
    </w:p>
    <w:p>
      <w:r>
        <w:rPr>
          <w:b/>
        </w:rPr>
        <w:t>E. 3.2</w:t>
      </w:r>
    </w:p>
    <w:p>
      <w:r>
        <w:t>Auf Beschwerdeebene macht er ausserdem geltend, er sei in Österreich von einer Strassenbande angegriffen und verletzt worden und befürchte, bei einer Rückkehr erneut Opfer eines Angriffs zu werden. Zudem leide er an Albträumen und Halluzinationen und seine psychischen Störungen würden ihn am Essen hindern.</w:t>
      </w:r>
    </w:p>
    <w:p>
      <w:r>
        <w:rPr>
          <w:b/>
        </w:rPr>
        <w:t>E. 4.1</w:t>
      </w:r>
    </w:p>
    <w:p>
      <w:r>
        <w:t>Ein Abgleich seiner Fingerabdrücke mit der europäischen Fingerabdruck-Datenbank (Eurodac) ergab, dass er am 5. September 2023 in Österreich um Asyl ersucht hatte. Die österreichischen Behörden hiessen das Gesuch des SEM vom 17. Januar 2024 um Wiederaufnahme des Beschwerdeführers gemäss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gleichentags gestützt auf Art. 20 Abs. 5 Bst. d Dublin-III-VO gut. Die Zuständigkeit Österreichs ist somit grundsätzlich gegeben. Dabei ist insbesondere festzuhalten, dass die Dublin-III-VO den Schutzsuchenden kein Recht einräumt, den ihren Antrag prüfenden Staat selbst auszuwählen (vgl. BVGE 2010/45 E. 8.3). Die persönliche Präferenz des Beschwerdeführers ist daher unerheblich.</w:t>
      </w:r>
    </w:p>
    <w:p>
      <w:r>
        <w:rPr>
          <w:b/>
        </w:rPr>
        <w:t>E. 4.2</w:t>
      </w:r>
    </w:p>
    <w:p>
      <w:r>
        <w:t>Das Bundesverwaltungsgericht geht in ständiger Rechtsprechung davon aus, dass das österreichische Asylsystem keine systemischen Mängel im Sinne von Art. 3 Abs. 2 zweiter Satz Dublin-III-VO aufweist (vgl. etwa Urteile des BVGer D-5847/2023 vom 14. November 2023 E. 6.2; F-4722/2023 vom 7. September 2023 E. 6.2; F-5549/2022 vom 28. Februar 2023 E. 3). Es wird demnach vermutet, dass dieses Land seine völker- und gemeinschaftsrechtlichen Verpflichtungen einhält. Diese Vermutung kann allerdings in einem konkreten Fall widerlegt werden, was nachfolgend unter dem Blickwinkel vom Art. 17 Abs. 1 erster Satz Dublin-III-VO geprüft wird.</w:t>
      </w:r>
    </w:p>
    <w:p>
      <w:r>
        <w:rPr>
          <w:b/>
        </w:rPr>
        <w:t>E. 4.3</w:t>
      </w:r>
    </w:p>
    <w:p>
      <w:r>
        <w:t>Der Beschwerdeführer hat kein konkretes und ernsthaftes Risiko dargetan, welches auf eine drohende Verletzung der genannten Garantien deuten würde. In Bezug auf seine Befürchtung, in Österreich erneut Opfer eines Angriffs durch Private zu werden, ist festzuhalten, dass keine Anhaltspunkte dafür bestehen, dass die österreichischen Behörden nicht in der Lage wären, dem Beschwerdeführer einen allenfalls nötigen Schutz zukommen zu lassen. Österreich ist ein Rechtsstaat mit einem funktionierenden Justizsystem, der über Polizeibehörden verfügt, die schutzwillig und schutzfähig sind und deren Hilfe der Beschwerdeführer im Falle einer Bedrohung durch Dritte in Anspruch nehmen könnte. Was den medizinischen Sachverhalt anbelangt ist zunächst festzuhalten, dass der Beschwerdeführer anlässlich des Dublin-Gesprächs die in der Beschwerde aufgeführten psychischen Probleme gänzlich unerwähnt liess. Soweit er vorbrachte, in Österreich nicht medizinisch behandelt zu werden, kann dem entgegnet werden, dass er nach dem Angriff auf seine Person nach eigenen Angaben in Österreich durchaus notfallmässig am Auge behandelt worden ist (s. SEM-Akten [...]-13/3 S. 1). Die auf Beschwerdeebene geltend gemachten gesundheitlichen Beschwerden sind denn auch in Österreich behandelbar, sollte der Beschwerdeführer nach seiner Rückkehr dorthin eine medizinische beziehungsweise eine psychiatrische Behandlung benötigen. Österreich verfügt über eine ausreichende medizinische Infrastruktur und ist gemäss Art. 19 Abs. 1 der Richtlinie 2013/33/EU des Europäischen Parlaments und des Rates vom 26. Juni 2013 (sog. Aufnahmerichtlinie) verpflichtet, ihm die erforderliche medizinische Versorgung zu gewähren.</w:t>
      </w:r>
    </w:p>
    <w:p>
      <w:r>
        <w:rPr>
          <w:b/>
        </w:rPr>
        <w:t>E. 4.4</w:t>
      </w:r>
    </w:p>
    <w:p>
      <w:r>
        <w:t>Die Vorinstanz hat somit das Selbsteintrittsrecht von Art. 17 Dublin-III-VO zu Recht nicht ausgeübt. Den Akten sind sodann mit Blick auf einen Selbsteintritt gestützt auf Art. 29a AsylV1 keine Hinweise auf eine gesetzeswidrige Ermessensausübung (vgl. BVGE 2015/9 E. 7 f.) oder ein Über- oder Unterschreiten des Ermessens (vgl. Art. 106 Abs. 1 Bst. a AsylG) durch die Vorinstanz zu entnehmen.</w:t>
      </w:r>
    </w:p>
    <w:p>
      <w:r>
        <w:rPr>
          <w:b/>
        </w:rPr>
        <w:t>E. 5</w:t>
      </w:r>
    </w:p>
    <w:p>
      <w:r>
        <w:t>Die Vorinstanz ist demnach zu Recht gestützt auf Art. 31a Abs. 1 Bst. b AsylG auf das Asylgesuch des Beschwerdeführers nicht eingetreten und hat die Wegweisung nach Österreich angeordnet.</w:t>
      </w:r>
    </w:p>
    <w:p>
      <w:r>
        <w:rPr>
          <w:b/>
        </w:rPr>
        <w:t>E. 6</w:t>
      </w:r>
    </w:p>
    <w:p>
      <w:r>
        <w:t>Nach dem Gesagten ist die Beschwerde abzuweisen. Mit dem vorliegenden Urteil fällt der am 26. Januar 2024 angeordnete superprovisorische Vollzugsstopp dahin. Das Gesuch um Erteilung der aufschiebenden Wirkung ist gegenstandslos geworden.</w:t>
      </w:r>
    </w:p>
    <w:p>
      <w:r>
        <w:rPr>
          <w:b/>
        </w:rPr>
        <w:t>E. 7.1</w:t>
      </w:r>
    </w:p>
    <w:p>
      <w:r>
        <w:t>Die Begehren erweisen sich als aussichtslos, weshalb das Gesuch um unentgeltliche Rechtspflege (Art. 65 Abs. 1 und 2 VwVG) abzuweisen ist.</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