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E-547/2015 vom 6. Februar 2015</w:t>
      </w:r>
    </w:p>
    <w:p>
      <w:r>
        <w:t>Bundesverwaltungsgericht, 2015-02-06, FR</w:t>
      </w:r>
    </w:p>
    <w:p>
      <w:r>
        <w:rPr>
          <w:b/>
        </w:rPr>
        <w:t xml:space="preserve">Quelle: </w:t>
      </w:r>
      <w:r>
        <w:t>https://mcp.opencaselaw.ch/entscheid/bvger_E-547_2015</w:t>
      </w:r>
    </w:p>
    <w:p>
      <w:r>
        <w:t>FR: TAF E-547/2015 du 6 février 2015</w:t>
      </w:r>
    </w:p>
    <w:p>
      <w:r>
        <w:t>IT: TAF E-547/2015 del 6 febbraio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13 janvier 2015 est annulée.</w:t>
      </w:r>
    </w:p>
    <w:p>
      <w:r>
        <w:rPr>
          <w:b/>
        </w:rPr>
        <w:t>E. 3</w:t>
      </w:r>
    </w:p>
    <w:p>
      <w:r>
        <w:t>Le SEM est invité à reconnaître la responsabilité de la Suisse pour examiner la demande d'asile du recourant.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La demande d'assistance judiciaire partielle est sans objet.</w:t>
      </w:r>
    </w:p>
    <w:p>
      <w:r>
        <w:rPr>
          <w:b/>
        </w:rPr>
        <w:t>E. 6</w:t>
      </w:r>
    </w:p>
    <w:p>
      <w:r>
        <w:t>Le SEM versera au recourant le montant de 500 francs à titre de dépens.</w:t>
      </w:r>
    </w:p>
    <w:p>
      <w:r>
        <w:rPr>
          <w:b/>
        </w:rPr>
        <w:t>E. 7</w:t>
      </w:r>
    </w:p>
    <w:p>
      <w:r>
        <w:t>La demande d'effet suspensif est sans objet.</w:t>
      </w:r>
    </w:p>
    <w:p>
      <w:r>
        <w:rPr>
          <w:b/>
        </w:rPr>
        <w:t>E. 8</w:t>
      </w:r>
    </w:p>
    <w:p>
      <w:r>
        <w:t>Le présent arrêt est adressé au mandataire du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