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E-5479/2006 vom 11. März 2009</w:t>
      </w:r>
    </w:p>
    <w:p>
      <w:r>
        <w:t>Bundesverwaltungsgericht, 2009-03-11, DE</w:t>
      </w:r>
    </w:p>
    <w:p>
      <w:r>
        <w:rPr>
          <w:b/>
        </w:rPr>
        <w:t xml:space="preserve">Quelle: </w:t>
      </w:r>
      <w:r>
        <w:t>https://mcp.opencaselaw.ch/entscheid/bvger_E-5479_2006</w:t>
      </w:r>
    </w:p>
    <w:p>
      <w:r>
        <w:t>FR: TAF E-5479/2006 du 11 mars 2009</w:t>
      </w:r>
    </w:p>
    <w:p>
      <w:r>
        <w:t>IT: TAF E-5479/2006 del 11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Beschwerdeführerinnen sind durch die angefochtene Verfügung besonders berührt und haben ein schutzwürdiges Interesse an deren Aufhebung beziehungsweise Änderung. Die Beschwerdeführerinnen sind daher zur Einreichung der Beschwerde legitimiert (Art. 108 Abs. 1 und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17 Abs. 2 AsylG i.V.m. Art. 6 der Asylverordnung 1 vom 11. August 1999 über Verfahrensfragen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(vgl. Entscheidungen und Mitteilungen der Schweizerischen Asylrekurskommission [EMARK] 2003 Nr. 2 E. 5a und b S. 16 ff.). Das Geschlecht soll nach Möglichkeit auch bei der Auswahl der Personen, die als Dolmetscher eingesetzt werden und das Protokoll führen, berücksichtigt werden. Art. 6 AsylV 1 - der bei Frauen sowie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grundsätzlich von Amtes wegen anzuwenden. Ein Verzicht der betroffenen asylsuchende Person auf die Befragung durch eine Person gleichen Geschlechts könnte nur dann angenommen werden, wenn er ausdrücklich erklärt wird (vgl. EMARK 2003 Nr. 2 E. 5b/dd und 5c S. 19 f.).</w:t>
      </w:r>
    </w:p>
    <w:p>
      <w:r>
        <w:rPr>
          <w:b/>
        </w:rPr>
        <w:t>E. 3.2</w:t>
      </w:r>
    </w:p>
    <w:p>
      <w:r>
        <w:t>Vorliegend ist festzustellen, dass die Beschwerdeführerin 1 bereits anlässlich der Kurzbefragung in E._______ auf die Frage, ob man ihr auf dem Posten als Frau zu nahe getreten sei, antwortete, man habe versucht, sie sexuell zu belästigen, sie habe dies aber nicht zuge-lassen und sich gewehrt (vgl. A1/10 S. 6). Mit dieser Aussage lagen eindeutige Hinweise auf eine geschlechtsspezifische Verfolgung vor, welche zwingend (vgl. EMARK 2003 Nr. 2 E. 5c S.19) Anlass dazu hätten geben müssen, die Schutzvorschrift von Art. 6 AsylV 1 anzu-wenden und die Beschwerdeführerin bei der kantonalen Anhörung durch ein Frauenteam anhören zu lassen. Das Bundesamt verkennt mit seinen diesbezüglichen Ausführungen in der Vernehmlassung, die Vorbringen der Beschwerdeführerin 1 seien als unglaubhaft qualifiziert worden, womit auch ihre geschlechtsspezifischen Aussagen nicht ge-glaubt werden könnten, und des Weiteren seien auch Gesuchsteller-innen mit frauenspezifischen Fluchtgründen der Wahrheits- und Mitwir-kungspflicht unterstellt, zudem habe sie eingangs der Anhörung die Frage, ob sie Einwände gegen die Anwesenheit von Männern an der Befragung habe, ausdrücklich verneint, den Sinn und Zweck dieser Schutzvorschrift. Erschwerend kommt hinzu, dass die Beschwerdefüh-rerin 1 weder über ihre diesbezüglichen Rechte aufgeklärt noch ihr damaliger Rechtsvertreter zur kantonalen Anhörung eingeladen wurde. Angesichts dieser Sachlage stellt die Erklärung der Beschwerde-führerin 1 zu Beginn der kantonalen Anhörung, sie habe keine Einwän-de gegen die Anwesenheit von Männern, keinen Verzicht auf eine Be-fragung durch eine Person gleichen Geschlechts dar.</w:t>
      </w:r>
    </w:p>
    <w:p>
      <w:r>
        <w:rPr>
          <w:b/>
        </w:rPr>
        <w:t>E. 3.3</w:t>
      </w:r>
    </w:p>
    <w:p>
      <w:r>
        <w:t>Zusammenfassend ist festzustellen, dass das Bundesamt dadurch, dass es die Beschwerdeführerin 1 trotz Hinweisen auf eine geschlechtsspezifische Verfolgung nicht durch ein Frauenteam zu ihren Asylgründen anhören liess, den Anspruch auf rechtliches Gehör verletzt, den rechtserheblichen Sachverhalt unrichtig respektive unvollständig festgestellt und damit Bundesrecht verletzt hat.</w:t>
      </w:r>
    </w:p>
    <w:p>
      <w:r>
        <w:rPr>
          <w:b/>
        </w:rPr>
        <w:t>E. 4</w:t>
      </w:r>
    </w:p>
    <w:p>
      <w:r>
        <w:t>Beschwerden gegen Verfügungen des BFM über die Verweigerung des Asyls und die Wegweisung haben grundsätzlich reformatorischen und nur ausnahmsweise kassatorischen Charakter (Art. 105 AsylG und Art. 6 AsylG i.V.m. Art. 61 Abs. 1 VwVG). Eine reformatorische Entscheidung setzt indessen Entscheidreife, insbesondere eine richtige und vollständige Abklärung des rechtserheblichen Sachverhaltes, voraus. Dies ist vorliegend nicht der Fall. Die Beschwerde ist demnach gutzuheissen, die angefochtene Verfügung vom 1. Februar 2006 aufzuheben und die Vorinstanz anzuweisen, der Beschwerdeführerin 1 das rechtliche Gehör im Sinne der Erwägungen zu gewähren, den rechtserheblichen Sachverhalt richtig respektive vollständig festzustellen und in der Sache neu zu entscheiden.</w:t>
      </w:r>
    </w:p>
    <w:p>
      <w:r>
        <w:rPr>
          <w:b/>
        </w:rPr>
        <w:t>E. 5.1</w:t>
      </w:r>
    </w:p>
    <w:p>
      <w:r>
        <w:t>Bei diesem Ausgang des Beschwerdeverfahrens sind keine Ver-fahrenskosten aufzuerlegen (Art. 63 Abs. 1 VwVG).</w:t>
      </w:r>
    </w:p>
    <w:p>
      <w:r>
        <w:rPr>
          <w:b/>
        </w:rPr>
        <w:t>E. 5.2</w:t>
      </w:r>
    </w:p>
    <w:p>
      <w:r>
        <w:t>Den vertretenen Beschwerdeführerinnen ist zulasten der Vorinstanz eine Parteientschädigung für die ihr erwachsenen notwendigen und verhältnismässig hohen Kosten zuzusprechen (Art. 64 Abs. 1 VwVG i.V.m. Art. 7 des Reglements vom 21. Februar 2008 über die Kosten und Entschädigungen vor dem Bundesverwaltungsgericht [VGKE, SR 173.320.2]). Der in der Kostennote vom 10. März 2009 ausgewiesene zeitliche Vertretungsaufwand von 12.87 Stunden zu ei-nem Stundenansatz von Fr. 230.-, total also Fr. 2960.10, scheint dem vorliegenden, nicht übermassig komplexen oder umfangreichen Ver-fahren nicht als vollumfänglich angemessen respektive notwendig im Sinne von Art. 64 Abs. 1 VwVG. Unter Berücksichtigung der massge-benden Bemessungsfaktoren (Art. 9 - 13 VGKE) und der Entschädi-gungspraxis in Vergleichsfällen ist der zeitliche Vertretungsaufwand für das Beschwerdeverfahren auf insgesamt 10 Stunden festzusetzen. Den Beschwerdeführerinnen ist somit eine Parteientschädigung im Be-trag von Fr. 2517.60 (Vertretungsaufwand von 10 Stunden bei einem Stundenansatz von Fr. 230.- zuzüglich Auslagen von Fr. 39.80 und Mehrwertsteuer von 7,6 Prozent)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