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E-5477/2018 vom 15. November 2018</w:t>
      </w:r>
    </w:p>
    <w:p>
      <w:r>
        <w:t>Bundesverwaltungsgericht, 2018-11-15, DE</w:t>
      </w:r>
    </w:p>
    <w:p>
      <w:r>
        <w:rPr>
          <w:b/>
        </w:rPr>
        <w:t xml:space="preserve">Quelle: </w:t>
      </w:r>
      <w:r>
        <w:t>https://mcp.opencaselaw.ch/entscheid/bvger_E-5477_2018</w:t>
      </w:r>
    </w:p>
    <w:p>
      <w:r>
        <w:t>FR: TAF E-5477/2018 du 15 novembre 2018</w:t>
      </w:r>
    </w:p>
    <w:p>
      <w:r>
        <w:t>IT: TAF E-5477/2018 del 15 novembre 2018</w:t>
      </w:r>
    </w:p>
    <w:p>
      <w:pPr>
        <w:pStyle w:val="Heading2"/>
      </w:pPr>
      <w:r>
        <w:t>Regeste</w:t>
      </w:r>
    </w:p>
    <w:p>
      <w:r>
        <w:t>Asyl (ohne Wegweisungsvollzug)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Der Beschwerdeführer ist in der Schweiz vorläufig aufgenommen. Die Beschwerde bezieht sich explizit auf die Dispositivziffer 1 der angefochtenen Verfügung (Feststellung der Flüchtlingseigenschaft) in Bezug auf das Vorliegen subjektiver Nachfluchtgründe durch die in der Schweiz erfolgte Konversion des Beschwerdeführers zum Christentum. In Bezug auf die Abweisung seines Asylgesuches und die verfügte Wegweisung ist die Verfügung in Rechtskraft erwachsen.</w:t>
      </w:r>
    </w:p>
    <w:p>
      <w:r>
        <w:rPr>
          <w:b/>
        </w:rPr>
        <w:t>E. 4.1</w:t>
      </w:r>
    </w:p>
    <w:p>
      <w:r>
        <w:t>Über offensichtlich begründete Beschwerden wird in einzelrichterlicher Zuständigkeit mit Zustimmung eines zweiten Richters beziehungsweise einer zweiten Richterin entschieden (Art. 111 Bst. e AsylG).</w:t>
      </w:r>
    </w:p>
    <w:p>
      <w:r>
        <w:rPr>
          <w:b/>
        </w:rPr>
        <w:t>E. 4.2</w:t>
      </w:r>
    </w:p>
    <w:p>
      <w:r>
        <w:t>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Dabei umfasst die Furcht vor künftiger Verfolgung allgemein ein auf tatsächlichen Gegebenheiten beruhendes objektives Element einerseits sowie das persönliche Furchtempfinden der betroffenen Person als subjektives Element andererseits. Begründete Furcht vor Verfolgung im Sinne von Art. 3 AsylG hat demnach, wer gute - das heisst von Dritten nachvollziehbare - Gründe (objektives Element) für seine Furcht (subjektives Element) vorweist, mit gewisser Wahrscheinlichkeit und in absehbarer Zukunft das Opfer von Verfolgung zu werden (vgl. BVGE 2011/50 E. 3.1.1, 2011/51 E. 6.2).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Verwaltungs- und so auch das Asylverfahren werden vom Untersuchungsgrundsatz beherrscht (Art. 12 VwVG i.V.m. Art. 6 AsylG). Die zuständige Behörde hat von Amtes wegen für die richtige und vollständige Abklärung des rechtserheblichen Sachverhaltes zu sorgen, die für das Verfahren notwendigen Unterlagen zu beschaffen, die rechtlich relevanten Umstände abzuklären und ordnungsgemäss darüber Beweis zu führen (BVGE 2015/10 E. 3.2 m.w.H.). Korrelat zur Untersuchungspflicht bildet die Mitwirkungspflicht der asylgesuchstellenden Person (Art. 8 AsylG).</w:t>
      </w:r>
    </w:p>
    <w:p>
      <w:r>
        <w:rPr>
          <w:b/>
        </w:rPr>
        <w:t>E. 6.2</w:t>
      </w:r>
    </w:p>
    <w:p>
      <w:r>
        <w:t>Nach Durchsicht der Akten der Vorinstanz sowie der im Beschwerdeverfahren erfolgten Eingabe kommt das Bundesverwaltungsgericht zum Ergebnis, dass die Vorinstanz den rechtserheblichen Sachverhalt vorliegend nicht vollständig erfasst hat und sich deshalb auch die im Entscheid vom 29. August 2018 dargelegte rechtliche Würdigung nur auf gewisse Teilaspekte der Vorbringen des Beschwerdeführers bezieht, was den Vorbringen des Beschwerdeführers, wie im Folgenden dargelegt, nicht gerecht wird.</w:t>
      </w:r>
    </w:p>
    <w:p>
      <w:r>
        <w:rPr>
          <w:b/>
        </w:rPr>
        <w:t>E. 6.3</w:t>
      </w:r>
    </w:p>
    <w:p>
      <w:r>
        <w:t>In der angefochtenen Verfügung äussert sich die Vorinstanz tatsächlich an keiner Stelle zu seiner geltend gemachten Konversion vom Islam zum Christentum, obschon sie ihn im Rahmen der Anhörung hierzu ausführlich befragte (A17/27, F 229-241). Auf Beschwerdeebene wird moniert, dass die Vorinstanz sein Vorbringen weder im Sachverhalt noch in der Entscheidfindung mitberücksichtigt habe. Diese Vorgehensweise wird in der Beschwerde zu Recht als unvollständige Feststellung des Sachverhalts und Verletzung der Begründungspflicht gerügt. Die Frage, ob und inwiefern der Beschwerdeführer aufgrund seines Glaubens in Afghanistan begründete Furcht vor künftiger Verfolgung hat und die in diesem Zusammenhang eingereichten Beweismittel bedürfen einer näheren Prüfung und Bewertung im Rahmen einer Gesamtbeurteilung. Die Vorinstanz hat es unterlassen, dieses wesentliche Sachverhaltselement unter dem Aspekt des Vorliegens eines subjektiven Nachfluchtgrundes in die Entscheidfindung einzubeziehen. Falls die Vorinstanz in casu zum Schluss kommt, dass der Beschwerdeführer seine geltend gemachten Apostasie glaubhaft dargelegt hat, könnte dies - wie in der Beschwerde zutreffend ausgeführt - allenfalls zu einer Bejahung der Flüchtlingseigenschaft im Sinne von Art. 3 Abs. 1 und 2 AsylG und Art. 1A Ziff. 2 des Abkommens vom 28. Juli 1951 über die Rechtsstellung der Flüchtlinge (FK, SR 0.142.30) führen (vgl. im als Referenzurteil publizierten Urteil, D-4952/2014 vom 23. August 2017).</w:t>
      </w:r>
    </w:p>
    <w:p>
      <w:r>
        <w:rPr>
          <w:b/>
        </w:rPr>
        <w:t>E. 7</w:t>
      </w:r>
    </w:p>
    <w:p>
      <w:r>
        <w:t>Beschwerden gegen Verfügungen des SEM über die Verweigerung des Asyls beziehungsweise die Verneinung der Flüchtlingseigenschaft und die Wegweisung haben grundsätzlich reformatorischen und nur ausnahmsweise kassatorischen Charakter (Art. 105 AsylG sowie Art. 6 AsylG i.V.m. Art. 61 Abs. 1 VwVG). Reformatorische Entscheidung setzt indessen Entscheidreife, insbesondere eine genügende Abklärung des rechtserheblichen Sachverhaltes, voraus. Die in diesen Fällen fehlende Entscheidungsreife kann grundsätzlich zwar auch durch die Beschwerdeinstanz selbst hergestellt werden, wenn dies im Einzelfall aus prozessökonomischen Gründen angebracht erscheint; sie muss dies aber nicht (vgl. EMARK 2004 Nr. 38 E. 7.1). Vorliegend erscheint eine Rückweisung an die Vorinstanz namentlich auch deshalb angezeigt, weil dem Beschwerdeführer durch einen reformatorischen Entscheid vorliegend eine Überprüfungsinstanz verloren ginge.</w:t>
      </w:r>
    </w:p>
    <w:p>
      <w:r>
        <w:rPr>
          <w:b/>
        </w:rPr>
        <w:t>E. 8</w:t>
      </w:r>
    </w:p>
    <w:p>
      <w:r>
        <w:t>Die Beschwerde ist somit im Sinne der Erwägungen gutzuheissen. Die Dispositivziffer 1 der Verfügung vom 29. August 2018 ist aufzuheben. Die Sache ist zur vollständigen und richtigen Sachverhaltsabklärung an das SEM zurückzuweisen mit der Anweisung, über die Flüchtlingseigenschaft neu zu entscheiden. Auf das im Beschwerdeverfahren in reformatorischer Hinsicht gestellte Begehren und dessen Begründung ist bei diesem Verfahrensausgang nicht weiter einzugehen.</w:t>
      </w:r>
    </w:p>
    <w:p>
      <w:r>
        <w:rPr>
          <w:b/>
        </w:rPr>
        <w:t>E. 9.1</w:t>
      </w:r>
    </w:p>
    <w:p>
      <w:r>
        <w:t>Bei diesem Ausgang des Verfahrens sind keine Kosten zu erheben (Art. 63 Abs. 3 VwVG i.V.m. Art. 37 VGG).</w:t>
      </w:r>
    </w:p>
    <w:p>
      <w:r>
        <w:rPr>
          <w:b/>
        </w:rPr>
        <w:t>E. 9.2</w:t>
      </w:r>
    </w:p>
    <w:p>
      <w:r>
        <w:t>Gemäss Art. 64 Abs. 1 VwVG in Verbindung mit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Der in der Kostennote vom 25. September 2018 ausgewiesene Aufwand von Fr. 1'015.- erweist sich als angemessen. Dieser Betrag ist dem Beschwerdeführer durch das SEM auszurichten.</w:t>
      </w:r>
    </w:p>
    <w:p>
      <w:r>
        <w:rPr>
          <w:b/>
        </w:rPr>
        <w:t>E. 9.3</w:t>
      </w:r>
    </w:p>
    <w:p>
      <w:r>
        <w:t>Die Anträge auf unentgeltliche Rechtspflege im Sinne von Art. 65 Abs. 1 VwVG und Art. 110a Abs. 1a und Abs. 3 AsylG sowie auf amtliche Verbeiständung werden mit dem vorliegenden Entscheid gegenstandlos.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