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E-5476/2014 vom 9. Oktober 2014</w:t>
      </w:r>
    </w:p>
    <w:p>
      <w:r>
        <w:t>Bundesverwaltungsgericht, 2014-10-09, DE</w:t>
      </w:r>
    </w:p>
    <w:p>
      <w:r>
        <w:rPr>
          <w:b/>
        </w:rPr>
        <w:t xml:space="preserve">Quelle: </w:t>
      </w:r>
      <w:r>
        <w:t>https://mcp.opencaselaw.ch/entscheid/bvger_E-5476_2014</w:t>
      </w:r>
    </w:p>
    <w:p>
      <w:r>
        <w:t>FR: TAF E-5476/2014 du 9 octobre 2014</w:t>
      </w:r>
    </w:p>
    <w:p>
      <w:r>
        <w:t>IT: TAF E-5476/2014 del 9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erwog das BFM, der Beschwerdeführer habe mehrere Gründe für seine Ausreise aus Tunesien angegeben, wobei der Wunsch, nach Österreich zurückzukehren, als wichtiger oder gar wichtigster Grund anzusehen sei. In seinem Brief an das Bundesamt für Fremdenwesen und Asyl in Österreich vom (...) habe er die geltend gemachte Verfolgung durch die Salafiten mit keinem Wort erwähnt. Es müsse daher bezweifelt werden, dass seine Ausreise in einem direkten Zusammenhang mit den erlittenen Nachteilen stehe. Er vermöge ferner nicht hinreichend zu begründen, weshalb er in Österreich kein Asylgesuch eingereicht habe. Von einer Person, welche sich tatsächlich vor Verfolgung fürchte, wäre zu erwarten, dass sie bei der ersten sich bietenden Gelegenheit um Schutz nachsuche. Angesichts dieser Ungereimtheiten in seinen Aussagen gelinge es ihm nicht, die geltend gemachte Furcht vor Verfolgung glaubhaft zu machen. Die geltend gemachten Vorfälle vom (...) seien zwar zweifellos einschneidende Ereignisse für ihn gewesen und hätten gemäss seinen Angaben zu schweren psychischen Problemen geführt. Dennoch sei er bis (...) in Tunesien geblieben und mache für diese Zeit keine weiteren Nachteile geltend. Die Übergriffe könnten deshalb objektiv betrachtet nicht als derart intensiv eingestuft werden, als dass sie ein menschenwürdiges Leben in Tunesien verunmöglicht hätten. Sie seien somit nicht asylrelevant. Seine Schilderungen der sozialen und politischen Bedingungen in Tunesien seien nachvollziehbar; als auf die allgemeinen Lebensbedingungen in einem Staat zurückzuführende Nachteile stellten sie jedoch keine asylbeachtliche Verfolgung dar. Er verfüge sodann bei seinem Bruder in H._______ über eine innerstaatliche Aufenthaltsalternative und sei auf den Schutz eines Drittstaates nicht angewiesen. Den Vorbringen bezüglich seines Blogs und der im Internet publizierten Artikel fehle die erforderliche Intensität, um als asylrelevant eingeordnet zu werden, insbesondere da er diesbezüglich eigenen Angaben zufolge keine ernsthaften Nachteile erlitten habe.</w:t>
      </w:r>
    </w:p>
    <w:p>
      <w:r>
        <w:rPr>
          <w:b/>
        </w:rPr>
        <w:t>E. 5.2</w:t>
      </w:r>
    </w:p>
    <w:p>
      <w:r>
        <w:t>In der Beschwerde wird dieser Argumentation entgegengehalten, bereits dem Protokoll der Befragung zur Person sei zu entnehmen, dass der Beschwerdeführer Tunesien wegen der erlittenen Gewalt und aus Angst vor den Salafiten verlassen habe. Auch seine Tätigkeit als Blogger und die journalistischen Beiträge seien als Ausreisegrund zu verstehen. Er habe sich zwar bei der Anhörung unklar zu den tatsächlichen Beweggründen für die Ausreise geäussert, doch sei zu berücksichtigen, dass er keinen Übersetzer gehabt habe, sich eher umständlich ausdrücke, bei schlechter Gesundheit sei und sich nicht ausreichend vorbereitet gefühlt habe. In seinem Brief an die österreichischen Behörden vom (...) habe er die Vorfälle in B._______ zwar nicht ausführlich geschildert, jedoch erwähnt, dass er Probleme mit den Islamisten gehabt habe. Er habe in Österreich nicht um Asyl nachgesucht, weil er darauf vertraut habe, im Rahmen des hängigen ausländerrechtlichen Verfahrens eine Aufenthaltsregelung zu erhalten. Ausserdem habe er aufgrund seiner negativen Erfahrungen das Vertrauen in die dortigen Behörden verloren. Zwar gehe aus den in B._______ erlittenen Nachteilen und seiner Teilnahme an Demonstrationen in H._______ wohl noch keine asylrelevante Verfolgung hervor, es sei jedoch davon auszugehen, dass er von den Salafiten fotografiert und sein Profil dokumentiert worden sei. Seine Aktivität als Blogger und Verfasser kritischer Internetartikel habe er leider anlässlich der Anhörung etwas unterbeleuchtet, ihnen komme aber angesichts der seit 2011 veränderten Verhältnisse in Tunesien neues Gewicht zu. Es müsse davon ausgegangen werden, dass seine Identität und seine provokativen religiösen Anschauungen von den Salafiten aufgedeckt worden seien, weshalb er im Falle einer Rückkehr an Leib und Leben gefährdet wäre. Die Behörden würden die Verfolgung eines Atheisten mit überwiegender Wahrscheinlichkeit dulden, und er könnte sogar von der Justiz verfolgt werden. Schliesslich sei auch festzuhalten, dass er in Tunesien zumindest nicht als unbekannter Künstler gelte.</w:t>
      </w:r>
    </w:p>
    <w:p>
      <w:r>
        <w:rPr>
          <w:b/>
        </w:rPr>
        <w:t>E. 6.1</w:t>
      </w:r>
    </w:p>
    <w:p>
      <w:r>
        <w:t>In Übereinstimmung mit der Vorinstanz gelangt das Bundesverwaltungsgericht zum Schluss, dass es dem Beschwerdeführer nicht gelingt, eine asylrelevante Verfolgung in Tunesien glaubhaft zu machen. Zur Vermeidung von Wiederholungen kann auf die überzeugenden Erwägungen in der angefochtenen Verfügung verwiesen werden. Die Vorbringen in der Rechtsmitteleingabe vermögen die Erwägungen und Schlussfolgerungen des BFM nicht umzustossen. Die Argumentation, er habe Tunesien auch wegen seiner Vergangenheit als Blogger und Verfasser kritischer Artikel verlassen, überzeugt nicht, zumal er diese Tätigkeit gemäss den Akten bereits Jahre vor seiner Wiedereinreise nach Tunesien eingestellt hatte. Es ist nicht ersichtlich und wird auch nicht vorgebracht, dass er in diesem Zusammenhang Nachteile erlitten hätte. Zwar trifft es zu, dass der Beschwerdeführer in seinem Brief an die österreichischen Behörden vom (...) auf die Islamisierung Tunesiens hinwies. Er habe aufgrund seiner liberalen Position im (...) Probleme gehabt; er sei als Ungläubiger hingestellt und angespuckt worden. Es leuchtet indessen nicht ein, weshalb der Beschwerdeführer in Österreich nicht um Asyl nachsuchte und die im schweizerischen Asylverfahren behauptete Verfolgung im dortigen ausländerrechtlichen Verfahren nicht bereits geltend gemacht hat. Der im Brief beschriebene Vorfall entspricht zudem nicht den im vorliegenden Asylverfahren geschilderte Übergriffen. Auch unter Berücksichtigung seiner gesundheitlichen Situation und der Tatsache, dass er sich in einer Fremdsprache ausdrückte - ein Übersetzer war angesichts seiner guten Deutschkenntnisse, die sich gerade auch in seinem selbst verfassten Brief an die österreichischen Behörden offenbaren, nicht erforderlich -, bleibt der Eindruck bestehen, seine Ausreise aus Tunesien sei nicht in erster Linie eine Flucht vor Verfolgung gewesen.</w:t>
      </w:r>
    </w:p>
    <w:p>
      <w:r>
        <w:rPr>
          <w:b/>
        </w:rPr>
        <w:t>E. 6.2</w:t>
      </w:r>
    </w:p>
    <w:p>
      <w:r>
        <w:t>Das Bundesverwaltungsgericht stellt demnach fest, dass der Beschwerdeführer keine asylrechtlich relevanten Verfolgungsgründe im Sinne von Art. 3 und 7 AsylG glaubhaft zu machen vermochte, weshalb das Bundesamt das Asylgesuch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 Sodann ergeben sich weder aus den Aussagen des Beschwerdeführers noch aus den Akten Anhaltspunkte dafür, dass er für den Fall einer Rückkehr nach Tunesien dort mit beachtlicher Wahrscheinlichkeit einer nach Art. 3 EMRK oder Art. 1 FoK verbotenen Strafe oder Behandlung ausgesetzt wäre. Gemäss der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Tunesien lässt den Wegweisungsvollzug zum heutigen Zeitpunkt nicht als unzulässig erscheinen. Nach dem Gesagten ist der Wegweisungsvollzug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Mit Blick auf die politische Lage, die Menschenrechtssituation und die allgemeinen Lebensumstände in Tunesien ist eine Rückkehr des Beschwerdeführers unter dem Aspekt der konkreten Gefährdung aufgrund einer allgemeinen Gewaltsituation nicht unzumutbar. Gemäss den ärztlichen Berichten von Dr. C._______ vom (...), (...) und (...) leidet der Beschwerdeführer infolge der erlittenen Gewalt unter einer posttraumatischen Belastungsstörung und einer bipolaren Störung. Gemäss Bericht desselben Psychiaters vom (...) hatten die Kündigung seiner Arbeitsstelle (...) und die Nichtverlängerung seiner Aufenthaltsbewilligung im (...) zu einer Depression geführt. Auch die weiteren ärztlichen Berichte diagnostizieren eine depressive Störung. Ungeachtet der teilweise widersprüchlichen Arztberichte scheint eine (medikamentöse) Therapie des Beschwerdeführers erforderlich zu sein. Der Beschwerdeführer macht geltend, die psychiatrische Infrastruktur in Tunesien weise grosse Schwächen auf, und eine psychologisch-psychia­trische Behandlung sei nicht ausreichend gewährleistet. Wie das BFM feststellte, ist indessen davon auszugehen, dass in Tunesien geeignete gesundheitliche Einrichtungen mit Fachpersonal zu seiner psychiatrischen oder psychologischen Behandlung zur Verfügung stehen. Ausserdem hat er bereits einen behandelnden Psychiater in Tunesien, und eine angemessene medikamentöse Behandlung war in der Vergangenheit offenbar möglich. Sodann ist davon auszugehen, dass er mit seinen Brüdern und weiteren Verwandten und Bekannten über ein tragfähiges Beziehungsnetz verfügt, welches ihn bei der sozialen und wirtschaftlichen Wiedereingliederung unterstützen kann.</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zudem möglich ist (Art. 83 Abs. 2 AuG).</w:t>
      </w:r>
    </w:p>
    <w:p>
      <w:r>
        <w:rPr>
          <w:b/>
        </w:rPr>
        <w:t>E. 8.5</w:t>
      </w:r>
    </w:p>
    <w:p>
      <w:r>
        <w:t>Zusammenfassend hat das BFM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Aufgrund der vorstehenden Erwägungen ist die Beschwerde als aussichtslos zu bezeichnen. Das Gesuch um Gewährung der unentgeltlichen Prozessführung ist daher abzuweisen (Art. 65 Abs. 1 VwVG). Das Gesuch um Verzicht auf die Erhebung eines Kostenvorschusses ist angesichts des vorliegenden Entscheids in der Hauptsache gegenstandslos geworden.</w:t>
      </w:r>
    </w:p>
    <w:p>
      <w:r>
        <w:rPr>
          <w:b/>
        </w:rPr>
        <w:t>E. 10.2</w:t>
      </w:r>
    </w:p>
    <w:p>
      <w:r>
        <w:t>Bei diesem Verfahrensausgang sind die Kosten dem Beschwerde­führer aufzuerlegen (Art. 63 Abs. 1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