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E-5475/2025 vom 31. Juli 2025</w:t>
      </w:r>
    </w:p>
    <w:p>
      <w:r>
        <w:t>Bundesverwaltungsgericht, 2025-07-31, DE</w:t>
      </w:r>
    </w:p>
    <w:p>
      <w:r>
        <w:rPr>
          <w:b/>
        </w:rPr>
        <w:t xml:space="preserve">Quelle: </w:t>
      </w:r>
      <w:r>
        <w:t>https://mcp.opencaselaw.ch/entscheid/bvger_E-5475_2025</w:t>
      </w:r>
    </w:p>
    <w:p>
      <w:r>
        <w:t>FR: TAF E-5475/2025 du 31 juillet 2025</w:t>
      </w:r>
    </w:p>
    <w:p>
      <w:r>
        <w:t>IT: TAF E-5475/2025 del 31 luglio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E-5475/2025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E-5475/2025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4.3</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den Betroffenen zugänglich ist, wobei von einem Staat nicht erwartet werden kann, dass er jederzeit präventiv in alle Lebensbereiche seiner Bür- ger eingreifen kann (vgl. zur sogenannten Schutztheorie BVGE 2011/51 E. 7.1 - 7.4).</w:t>
      </w:r>
    </w:p>
    <w:p>
      <w:r>
        <w:rPr>
          <w:b/>
        </w:rPr>
        <w:t>E. 5.1</w:t>
      </w:r>
    </w:p>
    <w:p>
      <w:r>
        <w:t>Die Vorinstanz führte zur Begründung ihrer Verfügung im Wesentlichen aus, der Bundesrat habe Albanien mit Beschluss vom 6. März 2009 in die Liste verfolgungssicherer Staaten nach Art. 6a Abs. 2 Bst. a AsylG aufge- nommen. Es werde daher davon ausgegangen, dass Betroffene bei asyl- relevanter, nicht staatlicher Verfolgung von den zuständigen Behörden Schutz erhielten. Die albanischen Polizeibehörden seien denn auch bereit und in der Lage, gegen Bedrohungen und Übergriffe von Dritten vorzuge- hen. Sodann habe Albanien im Jahr 2012 das Strafgesetz dahingehend geändert, dass sowohl Zwangsheirat als auch eheliche Gewalt straf- und zivilrechtlich verboten seien. Im Jahr 2013 habe Albanien zudem das Über- einkommen zur Verhütung und Bekämpfung von Gewalt gegen Frauen und häuslicher Gewalt ratifiziert. Die Beschwerdeführerin habe ausgeführt, sie sei mit ihrer Mutter lediglich ein einziges Mal vor ihrer eigenen Hochzeit in ein Frauenhaus gegangen und habe dort um Hilfe gebeten. Die Beschwer- deführerin sei mit dem Sohn der dortigen Mitarbeiterin zur Schule gegan- gen. Die Mitarbeiterin habe sie nach der Nennung des Namens ihres Va- ters erkannt, Angst um ihre eigene Familie bekommen und habe gemeint, man könne die Beschwerdeführerin nicht schützen, sie solle wieder nach Hause gehen. Aus dieser Reaktion der mit der Beschwerdeführerin be- kannten Mitarbeiterin des Frauenhauses sowie den Ausführungen der Be- schwerdeführerin zu ihrem Vater (wonach dieser in der Region eine be- kannte Person sei, im Gemeinderat aktiv gewesen sei und über Kollegen in der Politik verfüge, wodurch es ihm nach seiner Flucht aus der Schweiz ohne Probleme möglich gewesen sei, seinen Namen zu ändern und er für seine Taten auch nie lange im Gefängnis gesessen habe) liessen sich</w:t>
      </w:r>
    </w:p>
    <w:p>
      <w:r>
        <w:t>E-5475/2025 Seite 7 jedoch keine konkreten Hinweise entnehmen, dass der albanische Staat nicht bereit oder in der Lage gewesen wäre, ihr Schutz zu gewähren. Die Beschwerdeführerin sei lediglich ein einziges Mal bei einem Frauenhaus vorstellig geworden. Hinzu komme, dass sie aus den von ihr eingereichten Beweismitteln nichts zu ihren Gunsten abzuleiten vermöge. Vielmehr wür- den diese darauf hindeuten, dass ihr Vater gerade nicht eine einflussreiche Person mit Beziehungen zum Staat und in die Politik sei, da er ansonsten wohl kaum selbst simple Einbruchsdiebstähle verüben und eigenständig Dokumente fälschen müsste, die ihm eine Nähe zum Staat attestierten. Sodann verfüge ihr Vater über kein relevantes politisches Profil, sei er doch lediglich im Jahr 20(…) im Gemeinderat einer kleinen (…)stadt gewesen. Zudem würden die eingereichten Beweismittel aufzeigen, dass gegenüber ihrem Vater grundsätzlich sowohl die Schutzfähigkeit als auch die Schutz- willigkeit der albanischen Behörden vorhanden sei, da die Behörden ihren Vater beim Begehen einer Straftat erwischt, festgenommen und den Fall an die zuständige Strafverfolgungsbehörde überwiesen hätten. Selbst wenn sich – wie von ihr behauptet – ihr Vater in einem Fall von einer legiti- men Strafverfolgung hätte freikaufen können, sei daraus nicht zu folgen, dass ihr selbst die Schutzinfrastruktur gegenüber ihrem Vater verwehrt bleibe. Insgesamt beständen keine konkreten Hinweise darauf, dass die albanischen Behörden respektive der Staat ihr gegenüber Schutz verwei- gere oder keine effektive Handlungsfähigkeit besessen hätte. Die Zumut- barkeit der Inanspruchnahme der staatlichen Schutzinfrastruktur sei vorlie- gend zu bejahen, zumal es sich bei ihr um eine angehende (…) handle. Gleiches habe auch für die Probleme mit ihrem Ehemann zu gelten, insbe- sondere da sie sich wegen ihm nie an irgendeine staatliche Stelle gewandt habe. Folglich seien die von ihr geltend gemachten Gründe für die Aner- kennung der Flüchtlingseigenschaft nicht massgebend.</w:t>
      </w:r>
    </w:p>
    <w:p>
      <w:r>
        <w:rPr>
          <w:b/>
        </w:rPr>
        <w:t>E. 5.2</w:t>
      </w:r>
    </w:p>
    <w:p>
      <w:r>
        <w:t>Die Beschwerdeführerin entgegnete darauf in ihrer Beschwerdeschrift sowie der selbst verfassten Stellungnahme das bereits im vorinstanzlichen Verfahren Ausgeführte. Dabei betonte sie abermals, dass ihr Vater von sei- nen kriminellen Taten immer freigesprochen worden sei und auch mit der ihr sowie ihrer Mutter gegenüber angewandten Gewalt immer davonge- kommen sei. Sie könne nicht an den Schutz der albanischen Polizei glau- ben. Ihr Vater sei eine einflussreiche Person. Wenn sie ihn anzeigen würde, würde er sie finden und töten. Gleiches gelte für den Fall, dass sie sich scheiden lasse. Dieses Risiko verschwinde nicht, nur weil der Vater mo- mentan in der Schweiz im Gefängnis sei. Zwar verfüge Albanien über Ge- setze zur häuslichen Gewalt und zur Zwangsverheiratung, diese würden aber nicht konsequent umgesetzt. Sie kenne ihren Vater und die Statistiken</w:t>
      </w:r>
    </w:p>
    <w:p>
      <w:r>
        <w:t>E-5475/2025 Seite 8 und Zahlen sowie den Umgang der albanischen Behörden mit Schutzsu- chenden aufgrund von häuslicher Gewalt respektive mit kriminellen Perso- nen wie ihrem Vater. Sobald ihr Vater seine Haft verbüsst habe, werde er nach Albanien abgeschoben und sie gerate erneut in sein Visier.</w:t>
      </w:r>
    </w:p>
    <w:p>
      <w:r>
        <w:rPr>
          <w:b/>
        </w:rPr>
        <w:t>E. 6.1</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aufgrund konkreter und substanziierter Hinweise umgestossen werden kann (vgl. Urteil des BVGer D-6090/2023 vom 14. November 2023 E. 8.1 m.w.H.).</w:t>
      </w:r>
    </w:p>
    <w:p>
      <w:r>
        <w:rPr>
          <w:b/>
        </w:rPr>
        <w:t>E. 6.2</w:t>
      </w:r>
    </w:p>
    <w:p>
      <w:r>
        <w:t>Das Bundesverwaltungsgericht kommt nach Prüfung der Akten zum Schluss, dass die Vorinstanz die Vorbringen der Beschwerdeführerin zu Recht als für die Anerkennung der Flüchtlingseigenschaft nicht massge- bend erachtet hat. Diesbezüglich ist vollumfänglich auf die Erwägungen in der angefochtenen Verfügung zu verweisen (vgl. Verfügung des SEM vom 16. Juli 2025 Ziff. II sowie vorhergehend E. 5.1) und ergänzend festzustel- len, dass auch die Ausführungen respektive die auf Beschwerdeebene ein- gereichten Beweismittel (Erklärung der Mutter und Stellungnahme der Be- schwerdeführerin) der Verfügung nichts Stichhaltiges entgegen zu setzen vermögen. Die Beschwerdeführerin hat sich nie direkt an die albanischen Strafverfolgungsbehörden gewandt und um Hilfe ersucht oder eine Straf- anzeige eingereicht (vgl. SEM-Akte […]-30/10 F39). Das Bundesverwal- tungsgericht verkennt nicht, dass die Beschwerdeführerin sich vor ihrem Vater fürchtet. Nichtsdestotrotz wäre es ihr zuzumuten gewesen, sich um staatlichen Schutz zu bemühen, zumal sich die albanischen Behörden für Opfer von häuslicher Gewalt und Zwangsheirat einsetzen (vgl. bspw. Ur- teile des BVGer D-6090/2023 E. 8.2 und E-2692/2015 vom 12. Mai 2015 E. 6.3). Gleiches hat für die Probleme mit ihrem Ehemann zu gelten.</w:t>
      </w:r>
    </w:p>
    <w:p>
      <w:r>
        <w:rPr>
          <w:b/>
        </w:rPr>
        <w:t>E. 6.3</w:t>
      </w:r>
    </w:p>
    <w:p>
      <w:r>
        <w:t>Auch in Zukunft darf der Beschwerdeführerin zugemutet werden, nöti- genfalls bei den heimatlichen Behörden um Schutz nachzusuchen. Es ist deshalb von der Schutzfähigkeit und vom Schutzwillen der albanischen Be- hörden auszugehen. Dabei ist nicht anzunehmen, diese würden im Falle einer versuchten Einflussnahme ihres Vaters nicht gegen ihn vorgehen.</w:t>
      </w:r>
    </w:p>
    <w:p>
      <w:r>
        <w:t>E-5475/2025 Seite 9 Sollten einzelne Beamtinnen oder Beamte im Falle einer Anzeige nicht ge- setzeskonform handeln, hätte sie sich gegebenenfalls an eine vorgesetzte Behörde zu wenden und die entsprechenden Schutzmöglichkeiten im ei- genen Land auszuschöpfen.</w:t>
      </w:r>
    </w:p>
    <w:p>
      <w:r>
        <w:rPr>
          <w:b/>
        </w:rPr>
        <w:t>E. 6.4</w:t>
      </w:r>
    </w:p>
    <w:p>
      <w:r>
        <w:t>Der Beschwerdeführerin ist es nach dem Gesagten nicht gelungen, die gesetzliche Regelvermutung umzustossen. Die Flüchtlingseigenschaft der Beschwerdeführerin ist somit zu verneinen. Die Vorinstanz hat ihr Asylge- such zu Recht abgelehnt. Angesichts der für die Beschwerdeführerin ver- fügbaren Schutzinfrastruktur in Albanien ist sodann nicht zu beanstanden, dass die Vorinstanz den nicht weiter substanziierten Antrag auf Beiziehung der Strafakten des Vaters und des Bruders abwies (vgl. BGE 144 V 361 E. 6.5 m.H.; BVGE 2008/24 E. 7.2).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E-5475/2025 Seite 10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Beschwerdeführerin noch aus den Akten Anhaltspunkte dafür, dass sie für den Fall einer Ausschaffung nach Albanien dort mit beachtlicher Wahr- scheinlichkeit einer nach Art. 3 EMRK oder Art. 1 FoK verbotenen Strafe oder Behandlung ausgesetzt wäre. Gemäss der Praxis des Europäischen Gerichtshofes für Menschenrechte (EGMR) sowie jener des UN-Anti-Fol- terausschusses müsste die Beschwerdeführerin eine konkrete Gefahr («real risk») nachweisen oder glaubhaft machen, dass ihr im Fall einer Rückschiebung Folter oder unmenschliche Behandlung drohen würde (vgl. Urteil des EGMR Saadi gegen Italien vom 28. Februar 2008, Grosse Kam- mer 37201/06, §§ 124 – 127 m.w.H.). Nach den vorstehenden Ausführun- gen gelingt ihr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E-5475/2025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Albanien ist weder von Bürgerkrieg noch von allgemeiner Gewalt gekennzeichnet, so dass der Vollzug der Wegweisung dorthin grundsätzlich zumutbar ist (Art. 83 Abs. 5 AIG i.V.m. Art. 18 der Ver- ordnung über den Vollzug der Weg- und Ausweisung sowie der Landesver- weisung von ausländischen Personen [VVWAL, SR 142.281] und Anhang 2 der Verordnung). Zudem gilt Albanien, wie erwähnt, als «Safe Country» (vgl. dazu statt vieler: Urteile des BVGer D-1056/2025 vom 7. April 2025 E. 9.3.2 und D-6094/2023 vom 14. November 2023 E. 10.4.2.).</w:t>
      </w:r>
    </w:p>
    <w:p>
      <w:r>
        <w:rPr>
          <w:b/>
        </w:rPr>
        <w:t>E. 8.3.3</w:t>
      </w:r>
    </w:p>
    <w:p>
      <w:r>
        <w:t>Die Beschwerdeführerin vermag die gesetzliche Vermutung der Zu- mutbarkeit der Rückkehr nach Albanien mit ihren Vorbringen nicht umzu- stossen. Sie verfügt über einen Master-Abschluss in (…), ist angehende (…) und verfügt über mehrjährige Berufserfahrung im (…)-Bereich für un- terschiedliche Unternehmen sowie dem Verkauf von Artikel über die sozia- len Medien (vgl. SEM-Akte ID-002/2; […]-19/15 Q20, Q25, Q30, Q33 - 37). Ihre Mutter und ihr jüngerer Bruder sowie weitere Verwandte mütterlicher- seits leben immer noch in Albanien (vgl. SEM-Akte […]-19/15 Q47, Q49, Q54 f.; […]-30/10 F41). Es ist deshalb davon auszugehen, dass sie bei einer Rückkehr nicht in eine wirtschaftliche Notlage geraten, sondern viel- mehr in der Lage sein wird, sich eine eigene wirtschaftliche Existenz auf- zubauen. Die im psychologischen Verlaufsbericht vom 26. Juni 2025 ge- nannten Beschwerden ([…]) sind in Albanien behandelbar (vgl. Urteil D- 1056/2025 E. 9.3.3 m.w.H.). Die Beschwerdeführerin hat somit die Mög- lichkeit, nach ihrer Rückkehr bei Bedarf insbesondere eine psychothera- peutische Behandlung in Anspruch zu nehmen.</w:t>
      </w:r>
    </w:p>
    <w:p>
      <w:r>
        <w:rPr>
          <w:b/>
        </w:rPr>
        <w:t>E. 8.3.4</w:t>
      </w:r>
    </w:p>
    <w:p>
      <w:r>
        <w:t>Nach dem Gesagten erweist sich der Vollzug der Wegweisung auch als zumutbar.</w:t>
      </w:r>
    </w:p>
    <w:p>
      <w:r>
        <w:rPr>
          <w:b/>
        </w:rPr>
        <w:t>E. 8.4</w:t>
      </w:r>
    </w:p>
    <w:p>
      <w:r>
        <w:t>Die Beschwerdeführerin verfügt über einen gültigen Reisepass, wes- halb der Vollzug der Wegweisung auch als möglich zu bezeichnen ist (Art. 83 Abs. 2 AIG). Es obliegt ihr, bei der Beschaffung allenfalls</w:t>
      </w:r>
    </w:p>
    <w:p>
      <w:r>
        <w:t>E-5475/2025 Seite 12 erforderlicher weiterer Unterlagen mitzuwirken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Es besteht nach dem Gesagten somit keine Veranlassung zur Rückweisung der Sache an die Vorinstanz im Sinne des Subeventualbe- gehrens, zumal sich die Vorinstanz im angefochtenen Entscheid auch mit der individuellen Situation der Beschwerdeführerin hinreichend auseinan- dergesetzt hat. Die Beschwerde ist abzuweisen.</w:t>
      </w:r>
    </w:p>
    <w:p>
      <w:r>
        <w:rPr>
          <w:b/>
        </w:rPr>
        <w:t>E. 10</w:t>
      </w:r>
    </w:p>
    <w:p>
      <w:r>
        <w:t>Die mit der Beschwerde gestellten Gesuche um Gewährung der unentgelt- lichen Prozessführung und amtlichen Rechtsverbeiständung sind abzuwei- sen, da die Begehren – wie sich aus den vorstehenden Erwägungen ergibt – aussichtlos waren (Art. 65 Abs. 1 VwVG). Der Antrag auf Befreiung von der Vorschusspflicht wird mit dem vorliegenden Entscheid in der Sache ge- genstandslos.</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E-5475/2025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