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E-5473/2015 vom 17. September 2015</w:t>
      </w:r>
    </w:p>
    <w:p>
      <w:r>
        <w:t>Bundesverwaltungsgericht, 2015-09-17, DE</w:t>
      </w:r>
    </w:p>
    <w:p>
      <w:r>
        <w:rPr>
          <w:b/>
        </w:rPr>
        <w:t xml:space="preserve">Quelle: </w:t>
      </w:r>
      <w:r>
        <w:t>https://mcp.opencaselaw.ch/entscheid/bvger_E-5473_2015</w:t>
      </w:r>
    </w:p>
    <w:p>
      <w:r>
        <w:t>FR: TAF E-5473/2015 du 17 septembre 2015</w:t>
      </w:r>
    </w:p>
    <w:p>
      <w:r>
        <w:t>IT: TAF E-5473/2015 del 17 settembre 2015</w:t>
      </w:r>
    </w:p>
    <w:p>
      <w:pPr>
        <w:pStyle w:val="Heading2"/>
      </w:pPr>
      <w:r>
        <w:t>Regeste</w:t>
      </w:r>
    </w:p>
    <w:p>
      <w:r>
        <w:t>Zuweisung der Asylsuchenden an die Kantone</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form- und offensichtlich fristgerecht eingereichte Beschwerde (Art. 108 Abs. 1 AsylG und Art. 52 VwVG) ist einzutreten.</w:t>
      </w:r>
    </w:p>
    <w:p>
      <w:r>
        <w:rPr>
          <w:b/>
        </w:rPr>
        <w:t>E. 2.1</w:t>
      </w:r>
    </w:p>
    <w:p>
      <w:r>
        <w:t>Das Bundesverwaltungsgericht kann Verfügungen in Asylverfahren im Allgemeinen nur auf Verletzung von Bundesrecht oder unrichtige und unvollständige Feststellung des rechtserheblichen Sachverhaltes überprüfen (Art. 106 Abs. 1 AsylG). Das Gesetz schränkt die Beurteilungskompetenz des Bundesverwaltungsgerichts nochmals ein, wenn eine Zwischenverfügung betreffend Kantonszuteilung angefochten wird. Einzig den Grundsatz der Einheit der Familie darf es hier im Beschwerdeverfahren prüfen (Art. 27 Abs. 3 letzter Satz AsylG i.V.m. Art. 106 Abs. 2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27 Abs. 3 letzter Satz AsylG - welcher wie erwähnt als lex specialis der allgemeinen Regel von Art. 106 Abs. 1 AsylG vorgeht (Art. 106 Abs. 2 AsylG) - kann der Zuweisungsentscheid nur mit der Begründung angefochten werden, er verletze den Grundsatz der Einheit der Familie.</w:t>
      </w:r>
    </w:p>
    <w:p>
      <w:r>
        <w:rPr>
          <w:b/>
        </w:rPr>
        <w:t>E. 4</w:t>
      </w:r>
    </w:p>
    <w:p>
      <w:r>
        <w:t>In der Rechtsmitteleingabe verweist der Beschwerdeführer auf seine guten Kenntnisse der italienischen Sprache, welche er während seiner Studienzeit in Italien erworben habe. Bei seiner Ankunft in der Schweiz habe er im E._______ seine Übersetzungsdienste vom Arabischen ins Ita-lienische anbieten können. Im deutschsprachigen Kanton D._______ fühle er sich hingegen unnütz und orientierungslos. Er wolle das Sozialamt nicht mehr als nötig belasten und gerne arbeiten.</w:t>
      </w:r>
    </w:p>
    <w:p>
      <w:r>
        <w:rPr>
          <w:b/>
        </w:rPr>
        <w:t>E. 5</w:t>
      </w:r>
    </w:p>
    <w:p>
      <w:r>
        <w:t>Der Wunsch des Beschwerdeführers einerseits zu arbeiten, andererseits sich nützlich zu machen, ist verständlich. Ebenso ist nachvollziehbar, dass die vorliegende Situation ihn belastet. Darauf ist indes nicht weiter einzugehen. Gemäss dem klaren Wortlaut von Art. 27 Abs. 3 letzter Satz AsylG kann der Zuweisungsentscheid nur mit der Begründung angefochten werden, dieser verletze den Grundsatz der Einheit der Familie. Der Beschwerdeführer macht keine Verletzung dieses Grundsatzes geltend. Eine solche ist aus den Akten auch nicht ersichtlich. Der blosse Wunsch, im italienisch sprachigen Gebiet der Schweiz zu leben, ist aus seiner Sicht zwar verständlich, stellt aber keinen gesetzlichen Grund für eine bestimmte Kantonszuteilung des Beschwerdeführers dar. Die Zuteilung der Beschwerdeführenden in den Kanton D._______ verletzt demnach den Grundsatz der Einheit der Familien nicht.</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