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E-5473/2009 vom 8. Dezember 2010</w:t>
      </w:r>
    </w:p>
    <w:p>
      <w:r>
        <w:t>Bundesverwaltungsgericht, 2010-12-08, DE</w:t>
      </w:r>
    </w:p>
    <w:p>
      <w:r>
        <w:rPr>
          <w:b/>
        </w:rPr>
        <w:t xml:space="preserve">Quelle: </w:t>
      </w:r>
      <w:r>
        <w:t>https://mcp.opencaselaw.ch/entscheid/bvger_E-5473_2009</w:t>
      </w:r>
    </w:p>
    <w:p>
      <w:r>
        <w:t>FR: TAF E-5473/2009 du 8 décembre 2010</w:t>
      </w:r>
    </w:p>
    <w:p>
      <w:r>
        <w:t>IT: TAF E-5473/2009 del 8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seine Vorbringen weder den Anforderungen an Art. 7 AsylG noch denjenigen an Art. 3 AsylG zu genügen vermöchten. So seien die geltend gemachte Inhaftierung im Jahre 1997 und die darauf folgende Meldepflicht nicht der Grund der Ausreise im Jahre 2008 gewesen, es mangle diesbezüglich am Kausalzusammenhang zwischen Ereignis und Ausreise. Die vorgebrachten sechsmaligen Befragungen durch die srilankische Armee könnten sodann als legitime behördliche Untersuchungsmassnahmen gewertet werden, zumal der Bekannte des Beschwerdeführers der Zugehörigkeit zur LTTE verdächtigt worden sei. Zudem sei der Beschwerdeführer am (...) 2008 ohne weitere Folgen von der Meldepflicht und den Befragungen dispensiert worden. Letztlich fehle es an der geforderten Intensität der geltend gemachten Verfolgungsmassnahmen. Weiter könne dem Beschwerdeführer mangels entsprechender Substanziierung nicht geglaubt werden, dass er von unbekannten Männern in einem weissen Van in seinem Geschäft und auch nach seiner Flucht zuhause in C._______ gesucht worden sei. Nicht nachvollziehbar sei, dass die Armee Milizangehörige auf den Beschwerdeführer ansetze anstatt ihn selbst festzunehmen. Schliesslich sei das Vorgehen der Männer unlogisch, indem sie die Festnahmeversuche immer in dessen Abwesenheit durchgeführt hätten.</w:t>
      </w:r>
    </w:p>
    <w:p>
      <w:r>
        <w:rPr>
          <w:b/>
        </w:rPr>
        <w:t>E. 5.2.1</w:t>
      </w:r>
    </w:p>
    <w:p>
      <w:r>
        <w:t>Vorab ist die explizit erhobene Rüge der unrichtigen und unvollständigen Feststellung des rechtserheblichen Sachverhalts zu behandeln, da eine allenfalls ungenügende Erhebung desselben eine materielle Beurteilung verunmöglichen würde.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In der Rechtsmitteleingabe wird nicht dargelegt, inwiefern die Vorinstanz im Einzelnen den Sachverhalt unrichtig und unvollständig festgestellt hat. Den Akten lassen sich denn auch keine Anhaltspunkte für die Richtigkeit der erhobenen Rüge entnehmen. Vielmehr ist festzustellen, dass das BFM den Sachverhalt in den Befragungen korrekt ermittelt und in der angefochtenen Verfügung korrekt wiedergegeben und in seiner Entscheidfindung alle rechtswesentlichen Sachumstände berücksichtigt hat. Die Ausführungen in der Beschwerdeschrift sind denn auch vielmehr dahingehend zu verstehen, als der Beschwerdeführer gar nicht die unrichtige und unvollständige Sachverhaltsfeststellung bemängelt, sondern mit deren vorinstanzlichen Würdigung nicht einverstanden ist. Demnach erweist sich die erhobene Rüge als unzutreffend.</w:t>
      </w:r>
    </w:p>
    <w:p>
      <w:r>
        <w:rPr>
          <w:b/>
        </w:rPr>
        <w:t>E. 5.2.2</w:t>
      </w:r>
    </w:p>
    <w:p>
      <w:r>
        <w:t>Sodann wird in der Beschwerde auch nicht näher begründet, inwiefern das BFM sein Ermessen überschritten oder missbraucht hätte. Entsprechende Anhaltspunkte lassen sich den Akten jedenfalls nicht entnehmen, weshalb auf diese Rüge nicht näher eingegangen wird.</w:t>
      </w:r>
    </w:p>
    <w:p>
      <w:r>
        <w:rPr>
          <w:b/>
        </w:rPr>
        <w:t>E. 5.2.3</w:t>
      </w:r>
    </w:p>
    <w:p>
      <w:r>
        <w:t>Schliesslich wird gerügt, das BFM habe Bundesrecht verletzt, indem es zu Unrecht auf fehlende Glaubhaftigkeit respektive Asylrelevanz der geltend gemachten Vorbringen geschlossen habe. Nach einer Prüfung der Akten erweist sich aber auch diese Rüge als unbegründet: Der von der Vorinstanz dargelegte fehlende Kausalzusammenhang zwischen der im Jahre 1997 stattgefundenen Inhaftierung mit nachfolgender Meldepflicht bis ins Jahr 2002 und der Ausreise im Jahre 2008 wird vom Beschwerdeführer nicht bestritten. Auch wenn die geltend gemachten sechs Befragungen im März 2008 durch die Armee vor diesem Hintergrund zu würdigen seien, wie in der Rechtsmitteleingabe vorgebracht wird, ist in Übereinstimmung mit der Vorinstanz festzuhalten, dass die erfolgten Befragungen im Rahmen von behördlichen Untersuchungsmassnahmen gegen eine der Zugehörigkeit zur LTTE verdächtigte Person als durchaus legitim und nicht aus einem der in Art. 3 AsylG aufgezählten Motive zu betrachten sind, der Beschwerdeführer dabei offenbar nicht festgenommen oder - abgesehen von der Pflicht zur Unterschriftenleistung - weitergehend behelligt worden ist und damit auch nicht von einer genügend hohen Intensität der Benachteiligungen ausgegangen werden kann. Die tägliche Verpflichtung zur Unterschriftenleistung wurde denn auch aussagegemäss ab dem (...) 2008 nicht mehr als nötig erachtet, da der Beschwerdeführer keine Informationen habe geben können (vgl. Akten BFM A13/14 S. 7 f.). Aus diesem behördlichen Verhalten lässt sich keine künftige Verfolgungsgefahr herleiten, wie dies in der Beschwerde getan wird. Was die angeblich mehrfach erfolgte Suche durch Unbekannte ab Mai 2008 anbelangt, ist sodann in Übereinstimmung mit der Vorinstanz festzuhalten, dass diese nicht glaubhaft gemacht werden kann. Insbesondere ist wenig überzeugend, dass diese Leute derart schlecht organisiert sind, dass sie immer gerade in Abwesenheit des Beschwerdeführers nach ihm gesucht hätten. Nicht logisch ist sodann, weshalb sie sich einerseits schwarz vermummt und andererseits gleichzeitig als Regierungsleute zu erkennen gegeben haben sollen (vgl. Akten BFM A13/14 S. 9). Zudem kann nicht nachvollzogen werden, dass Leute, die mit der Regierung zusammenarbeiten würden, den Beschwerdeführer einen Monat nach Beendigung der Verpflichtung zur Unterschriftenleistung suchen sollten, hätten die srilankischen Behörden seiner doch bereits während der Befragungen habhaft werden können. Dass der Beschwerdeführer den Grund der angeblichen Suche nach ihm nicht weiss respektive nicht einmal versucht hat, diesen in Erfahrung zu bringen (vgl. Akten BFM A13/14 S. 10), muss sodann als realtitätsfremd bezeichnet werden, zumal es nicht dem gängigen Verhalten einer verfolgten Person entspricht. Schliesslich ist wenig überzeugend, dass der Beschwerdeführer erst einen Monat nach seiner Flucht auch zuhause gesucht worden sein will (vgl. Akten BFM A13/14 S. 8), hätten die Häscher ihm doch auf diese Weise geradezu die Möglichkeit gegeben, unterzutauchen. Es kann an dieser Stelle auf die zutreffenden Erwägungen der Vorinstanz verwiesen werden, ohne noch näher auf die einzelnen Argumente in der Beschwerde einzugehen, welche am Ergebnis nichts zu ändern vermögen.</w:t>
      </w:r>
    </w:p>
    <w:p>
      <w:r>
        <w:rPr>
          <w:b/>
        </w:rPr>
        <w:t>E. 5.2.4</w:t>
      </w:r>
    </w:p>
    <w:p>
      <w:r>
        <w:t>Zusammenfassend folgt, dass das BFM das Asylgesuch des Beschwerdeführers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6.3</w:t>
      </w:r>
    </w:p>
    <w:p>
      <w:r>
        <w:t>Im Weiteren hat die Vorinstanz den Beschwerdeführer zufolge Unzumutbarkeit eines Wegweisungsvollzugs vorläufig aufgenommen, weshalb sich zum jetzigen Zeitpunkt Ausführungen hinsichtlich Zulässigkeit und Möglichkeit eines Wegweisungsvollzugs erübrigen.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Dieser Betrag ist durch den am 28. September 2009 geleisteten Kostenvorschuss von Fr. 600.-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