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E-546/2017 vom 21. Juni 2017</w:t>
      </w:r>
    </w:p>
    <w:p>
      <w:r>
        <w:t>Bundesverwaltungsgericht, 2017-06-21, DE</w:t>
      </w:r>
    </w:p>
    <w:p>
      <w:r>
        <w:rPr>
          <w:b/>
        </w:rPr>
        <w:t xml:space="preserve">Quelle: </w:t>
      </w:r>
      <w:r>
        <w:t>https://mcp.opencaselaw.ch/entscheid/bvger_E-546_2017</w:t>
      </w:r>
    </w:p>
    <w:p>
      <w:r>
        <w:t>FR: TAF E-546/2017 du 21 juin 2017</w:t>
      </w:r>
    </w:p>
    <w:p>
      <w:r>
        <w:t>IT: TAF E-546/2017 del 21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 Art. 3 AsylG an die flüchtlingsrechtliche Beachtlichkeit nicht genügend. Die allgemeinen Auswirkungen des Bürgerkriegs in Syrien und deren Begleitumstände seien nicht asylrelevant. Ferner würden die von der Beschwerdeführerin vorgebrachten Vorkommnisse keine asylrelevante Intensität entfalten. Allein wegen der politischen Aktivitäten ihrer Familie hätte die Beschwerdeführerin keine Nachteile erlitten und nach der Verwarnung durch den Sicherheitsdienst habe sie ihre Teilnahme an Demonstrationen eingestellt, woraufhin es zu keinen weiteren Repressalien gekommen sei. Auch die Druckausübung seitens der PYD, welche sie zu militärischen Übungen habe verpflichten wollen, würde keine asylrelevante Intensität aufweisen. Die von der Beschwerdeführerin eingereichten Beweismittel seien ebenfalls nicht geeignet, eine asylrelevante Verfolgung nachzuweisen. Angesichts der offensichtlich fehlenden flüchtlingsrechtlichen Beachtlichkeit der Vorbringen könne darauf verzichtet werden, auf vorhandene Unglaubhaftigkeitselemente einzugehen. Somit erfülle die Beschwerdeführerin die Flüchtlingseigenschaft nicht und habe keinen Anspruch auf Asyl.</w:t>
      </w:r>
    </w:p>
    <w:p>
      <w:r>
        <w:rPr>
          <w:b/>
        </w:rPr>
        <w:t>E. 5.2</w:t>
      </w:r>
    </w:p>
    <w:p>
      <w:r>
        <w:t>Auf Beschwerdeebene legt die Beschwerdeführerin die aktuelle Situation ihrer Familie in Syrien dar. Sie verweist auf die gesundheitlichen Probleme ihrer Eltern und die prekäre Versorgungslage vor Ort. Ihr Vater sei nach wie vor in Haft. In ihrer ergänzenden Eingabe vom 20. März 2017 schildert sie, wie sie während einer Bombardierung am 25. Februar 2013 in Aleppo von einem bewaffneten Mann in ein verlassenes Gebäude gezerrt worden sei. Als sie versucht habe sich zu wehren, habe er ihr mit seiner Waffe auf den Kopf geschlagen. Danach habe sie nichts mehr gespürt bis sie wieder aufgewacht sei. Ihr Kleid sei zerrissen gewesen, sie habe starke Kopfschmerzen und Prellungen am Körper gehabt. In der Folge habe sich ihr körperlicher und psychischer Zustand verschlechtert. Die Beschwerdeführerin legt ein Schreiben der Organisation "No to violence against women" bei, in welchem der Vorfall und dessen gesundheitliche Folgen beschrieben werden. Sie habe die Vergewaltigung anlässlich der BzP und der Anhörung nicht genannt, da diese in Syrien als Schande für die Familie erachtet werde und schwerwiegende Repressalien zur Folge haben könne.</w:t>
      </w:r>
    </w:p>
    <w:p>
      <w:r>
        <w:rPr>
          <w:b/>
        </w:rPr>
        <w:t>E. 6.1</w:t>
      </w:r>
    </w:p>
    <w:p>
      <w:r>
        <w:t>Das SEM ist in seinen Erwägungen zur zutreffenden Erkenntnis gelangt, die Vorbringen der Beschwerdeführerin würden den Anforderungen von Art. 3 AsylG an die flüchtlingsrechtliche Beachtlichkeit nicht genügen. Auf die betreffenden Erwägungen der Vorinstanz gemäss angefochtener Verfügung und Zusammenfassung in E. 5.1 oben kann zur Vermeidung von Wiederholungen verwiesen werden; sie sind nicht zu beanstanden. Die Ausführungen in der Beschwerde und deren Ergänzung führen zu keiner anderen Betrachtungsweise. Die Beschwerdeführerin beschränkt sich darin im Wesentlichen auf Ausführungen zur aktuellen Situation ihrer Familie in Syrien, macht jedoch keine Angaben zu einer allfälligen sie selbst betreffenden Bedrohungslage, weshalb diesen Schilderungen keine Asylrelevanz zukommt. Die in der Beschwerdeergänzung geschilderte Vergewaltigung stellt zweifellos ein traumatisierendes und einschneidendes Ereignis dar. Jedoch lässt sich diesem Übergriff aufgrund der bestehenden Akten mit überwiegender Wahrscheinlichkeit keine asylrelevante Verfolgungsmotivation entnehmen. So macht die Beschwerdeführerin nicht geltend, dass der Täter einer Kriegspartei angehört habe. Zudem bestehen keine Hinweise, wonach dieser gezielt die Beschwerdeführerin aufgrund einer untrennbar mit ihrer Person beziehungsweise Persönlichkeit verbundenen Eigenschaft, wie beispielsweise ihrer Ethnie, Religion oder politischen Anschauungen im Sinne von Art. 3 AsylG ausgewählt habe. Vielmehr scheint der Täter völlig wahllos gehandelt und die, aufgrund der in diesem Moment stattfindenden Bombardierung, ausgelöste Panik ausgenutzt zu haben. Sodann fehlt es an einem sachlichen und zeitlichen Kausalzusammenhang zwischen diesem Ereignis und der Flucht: Die Beschwerdeführerin verliess Syrien erst über zwei Jahre nach diesem Vorfall, gemäss eigenen Angaben aufgrund des von der PYD ausgeübten Drucks und der prekären Sicherheitslage. Eine erneute Anhörung zum Vorfall vom 25. Februar 2013 erübrigt sich somit und das entsprechende Rechtsbegehren ist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14. Februar 2017 geleistete Kostenvorschuss in selber Höhe ist zur Bezahlung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