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E-5469/2021 vom 20. Januar 2022</w:t>
      </w:r>
    </w:p>
    <w:p>
      <w:r>
        <w:t>Bundesverwaltungsgericht, 2022-01-20, FR</w:t>
      </w:r>
    </w:p>
    <w:p>
      <w:r>
        <w:rPr>
          <w:b/>
        </w:rPr>
        <w:t xml:space="preserve">Quelle: </w:t>
      </w:r>
      <w:r>
        <w:t>https://mcp.opencaselaw.ch/entscheid/bvger_E-5469_2021</w:t>
      </w:r>
    </w:p>
    <w:p>
      <w:r>
        <w:t>FR: TAF E-5469/2021 du 20 janvier 2022</w:t>
      </w:r>
    </w:p>
    <w:p>
      <w:r>
        <w:t>IT: TAF E-5469/2021 del 20 gennaio 2022</w:t>
      </w:r>
    </w:p>
    <w:p>
      <w:pPr>
        <w:pStyle w:val="Heading2"/>
      </w:pPr>
      <w:r>
        <w:t>Regeste</w:t>
      </w:r>
    </w:p>
    <w:p>
      <w:r>
        <w:t>Exécution du renvoi</w:t>
      </w:r>
    </w:p>
    <w:p>
      <w:pPr>
        <w:pStyle w:val="Heading2"/>
      </w:pPr>
      <w:r>
        <w:t>Erwägungen</w:t>
      </w:r>
    </w:p>
    <w:p>
      <w:r>
        <w:rPr>
          <w:b/>
        </w:rPr>
        <w:t>E. 17</w:t>
      </w:r>
    </w:p>
    <w:p>
      <w:r>
        <w:t>novembre 2021, p. 7 et 8), que le recours ne comporte aucun argument ou moyen de preuve de nature à mettre en cause ce qui précède, que les griefs de violation de l’art. 3 CEDH, de l’art. 3 Conv. torture et, partant, de l’art. 84 al. 3 LEI, sont donc infondés, que l'exécution du renvoi s'avère licite (cf. ATAF 2014/28 consid.11), qu'elle est également raisonnablement exigible (art. 83 al. 4 LEI a contrario ; cf. ATAF 2014/26 consid. 7.3 à 7.10 et 2011/50 consid. 8.3),</w:t>
      </w:r>
    </w:p>
    <w:p>
      <w:r>
        <w:t>E-5469/2021 Page 8 qu'en effet, la Colombie ne connaît pas une situation de guerre, de guerre civile ou de violence généralisée sur l’ensemble de son territoire, qu’en outre, il ne ressort du dossier aucun élément dont on pourrait inférer que l'exécution du renvoi impliquerait une mise en danger concrète du recourant pour des motifs qui lui seraient propres, ce qu’il n’invoque du reste pas, que l'exécution du renvoi est enfin possible (art. 83 al. 2 LEI a contrario ; cf. ATAF 2008/34 consid. 12 et jurisp. cit.), le recourant étant tenu de collaborer à l'obtention de documents de voyage lui permettant de retourner dans son pays d'origine (art. 8 al. 4 LAsi), qu’en conclusion, l'exécution du renvoi doit être déclarée conforme aux dispositions légales, qu'en conséquence, le recours est rejeté, que s'avérant manifestement infondé, il l’est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il y a lieu de rejeter les demandes de dispense des frais de procédure et de nomination d’un mandataire d’office dont celui-ci est assorti (art. 65 al. 1 PA et art. 102m al. 1 LAsi),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E-5469/2021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