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E-5467/2022 vom 23. Dezember 2022</w:t>
      </w:r>
    </w:p>
    <w:p>
      <w:r>
        <w:t>Bundesverwaltungsgericht, 2022-12-23, DE</w:t>
      </w:r>
    </w:p>
    <w:p>
      <w:r>
        <w:rPr>
          <w:b/>
        </w:rPr>
        <w:t xml:space="preserve">Quelle: </w:t>
      </w:r>
      <w:r>
        <w:t>https://mcp.opencaselaw.ch/entscheid/bvger_E-5467_2022</w:t>
      </w:r>
    </w:p>
    <w:p>
      <w:r>
        <w:t>FR: TAF E-5467/2022 du 23 décembre 2022</w:t>
      </w:r>
    </w:p>
    <w:p>
      <w:r>
        <w:t>IT: TAF E-5467/2022 del 23 dicembre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niederländischen Behörden innert der in Art. 25 Abs. 1 Dublin-III-VO festgelegten Frist dem Wiederaufnahmegesuch der Vorinstanz zugestimmt haben, ist die Zuständigkeit der Niederlande grundsätzlich gegeben.</w:t>
      </w:r>
    </w:p>
    <w:p>
      <w:r>
        <w:rPr>
          <w:b/>
        </w:rPr>
        <w:t>E. 3.3</w:t>
      </w:r>
    </w:p>
    <w:p>
      <w:r>
        <w:t>Erweist es sich als unmöglich, eine antragsstellende Person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3.5</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4.1</w:t>
      </w:r>
    </w:p>
    <w:p>
      <w:r>
        <w:t>Indem die Beschwerdeführerin vorbringt, sie habe insgesamt dreieinhalb Jahre ausserhalb des Dublin-Raums verbracht, macht sie geltend, die Zuständigkeit der Niederlande sei erloschen.</w:t>
      </w:r>
    </w:p>
    <w:p>
      <w:r>
        <w:rPr>
          <w:b/>
        </w:rPr>
        <w:t>E. 4.2</w:t>
      </w:r>
    </w:p>
    <w:p>
      <w:r>
        <w:t>Rechtsprechungsgemäss können sich Asylsuchende in Beschwerdeverfahren gegen Überstellungsentscheidungen auf die richtige Anwendung sämtlicher objektiver Zuständigkeitskriterien der Dublin-III-VO berufen. Dies gilt auch dann, wenn der ersuchte Mitgliedstaat einem Aufnahme- oder Wiederaufnahmeersuchen zugestimmt hat (BVGE 2017 VI/9 E. 5.3.2).</w:t>
      </w:r>
    </w:p>
    <w:p>
      <w:r>
        <w:rPr>
          <w:b/>
        </w:rPr>
        <w:t>E. 4.3</w:t>
      </w:r>
    </w:p>
    <w:p>
      <w:r>
        <w:t>Vorliegend ist deshalb zu prüfen, ob die Zuständigkeit der Niederlande erloschen ist beziehungsweise ob das am (...) September 2022 in der Schweiz gestellte Asylgesuch - angesichts des von der Beschwerdeführerin behaupteten zwischenzeitlichen Aufenthalts in Äthiopien - einen neuen Antrag im Sinne von Art. 20 Abs. 5 UAbs. 3 (i.V.m. UAbs. 2) Dublin-III-VO darstellt.</w:t>
      </w:r>
    </w:p>
    <w:p>
      <w:r>
        <w:rPr>
          <w:b/>
        </w:rPr>
        <w:t>E. 5.1</w:t>
      </w:r>
    </w:p>
    <w:p>
      <w:r>
        <w:t>Das SEM vertrat gegenüber den niederländischen Behörden die Auffassung, dass es die Aussagen der Beschwerdeführerin über das Verlassen des Dublin-Raums für unglaubhaft erachte.</w:t>
      </w:r>
    </w:p>
    <w:p>
      <w:r>
        <w:rPr>
          <w:b/>
        </w:rPr>
        <w:t>E. 5.2</w:t>
      </w:r>
    </w:p>
    <w:p>
      <w:r>
        <w:t>In BVGE 2015/41 (E. 7-7.3,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w:t>
      </w:r>
    </w:p>
    <w:p>
      <w:r>
        <w:rPr>
          <w:b/>
        </w:rPr>
        <w:t>E. 5.3</w:t>
      </w:r>
    </w:p>
    <w:p>
      <w:r>
        <w:t>In dieser Hinsicht einschlägig sind die Beweiswürdigungsbestimmungen von Art. 22 Abs. 2 ff. Dublin-III-VO. Um beispielsweise die Ausreise nachzuweisen, werden «Beweismittel und Indizien» verwendet, die gemäss Art. 22 Abs. 3 Bst. a und b Dublin-III-VO durch die EU-Kommission in Durchführungsrechtsakten in zwei Verzeichnissen festgelegt werden. Diese beiden Verzeichnisse sind in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enthalten. In beiden Verzeichnissen wird festgelegt, welche Beweismittel und Indizien im Zuge der Feststellung des Erlöschens gemäss Art. 19 Abs. 2 Dublin-III-VO Verwendung finden.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des Asylsuchenden gelten ebenfalls als Indiz (vgl. Anhang II, Verzeichnis B, Ziff. II.3 der Durchführungsverordnung).</w:t>
      </w:r>
    </w:p>
    <w:p>
      <w:r>
        <w:rPr>
          <w:b/>
        </w:rPr>
        <w:t>E. 5.4</w:t>
      </w:r>
    </w:p>
    <w:p>
      <w:r>
        <w:t>Wie die Vorinstanz zu Recht festhält, handelt es sich bei den beim SEM eingereichten Dokumenten nicht um Beweismittel gemäss Art. 22 Abs. 3 Bst. a/i Dublin-III-VO in Verbindung mit Anhang II, Verzeichnis A der Durchführungsverordnung. Diese Unterlagen stellen vielmehr Indizien im Sinne von Art. 22 Abs. 3 Bst. b/i Dublin-III-VO in Verbindung mit Anhang II, Verzeichnis B der Durchführungsverordnung dar, die mit Blick auf die Frage der Plausibilität der geltend gemachten Ausreise aus dem Dublin-Raum zu würdigen sind.</w:t>
      </w:r>
    </w:p>
    <w:p>
      <w:r>
        <w:rPr>
          <w:b/>
        </w:rPr>
        <w:t>E. 5.4.1</w:t>
      </w:r>
    </w:p>
    <w:p>
      <w:r>
        <w:t>Die Beschwerdeführerin hat einen Antrag auf Ausstellung sowie die Quittung betreffend die Entgegennahme einer Geburtsurkunde beigebracht. Zudem legte sie eine Arbeitsbestätigung der Firma D._______ in Addis Abeba betreffend die Jahre 2019 bis 2021 vor und reichte auf Beschwerdeebene eine Erklärung der Firma E._______ ein. Hierzu wird in der Beschwerdeschrift ausgeführt, es handle sich bei D._______ um die Tochtergesellschaft der E._______. Dies erkläre, dass die Internetpräsenz der Tochtergesellschaft D._______ nicht sehr weit zurückverfolgt werden könne. Der eingereichte Antrag auf Ausstellung einer Geburtsurkunde wurde nicht von der Beschwerdeführerin unterzeichnet. Dasselbe gilt für die eingereichte Quittung, welche zudem keine fälschungssicheren Merkmale aufweist. Allein der Name auf der Quittung belegt noch nicht, dass die Beschwerdeführerin diese persönlich in Empfang genommen hat. Die Arbeitsbestätigung der D._______ hat die Vorinstanz zu Recht als Gefälligkeitsschreiben eingeordnet. Entsprechend ist auch das auf Beschwerdeebene eingereichte Schreiben der E._______ zu qualifizieren, unabhängig davon, ob dieses die nur über kurze Zeit zurückzuverfolgende Internetpräsenz der D._______ erklären kann oder nicht. Die Beschwerdeführerin vermag damit nicht eine in Äthiopien ausgeübte Erwerbstätigkeit zu belegen, zumal der Vertrieb der Produkte mutmasslich weltweit stattfinden kann. Wie die Vorinstanz zudem zutreffend ausführt, ist nicht auszuschliessen, dass die eingereichten Dokumente auch käuflich erworben werden können. Sie sind folglich ungeeignet, eine Ausreise aus dem Dublin-Raum beziehungsweise einen mehrmonatigen Aufenthalt in Äthiopien glaubhaft zu machen.</w:t>
      </w:r>
    </w:p>
    <w:p>
      <w:r>
        <w:rPr>
          <w:b/>
        </w:rPr>
        <w:t>E. 5.4.2</w:t>
      </w:r>
    </w:p>
    <w:p>
      <w:r>
        <w:t>Im Übrigen ist davon auszugehen, dass die Beschwerdeführerin zahlreiche weitere Dokumente hätte einreichen können, wenn sie tatsächlich über einen längeren Zeitraum in Äthiopien gelebt hätte. Belege, Urkunden, Korrespondenzen oder anderweitige personalisierte Dokumente, die auf eine längere Anwesenheit der Beschwerdeführerin in ihrem Heimatland schliessen liessen, fehlen grösstenteils. Dies erscheint wenig lebensnah. Personen, die mehrere Jahre an einem bestimmten Ort leben, gelangen während dieser Zeit naturgemäss in den Besitz verschiedenartiger Belege, die mit ihrer Anwesenheit an diesem Ort in Verbindung gebracht werden können.</w:t>
      </w:r>
    </w:p>
    <w:p>
      <w:r>
        <w:rPr>
          <w:b/>
        </w:rPr>
        <w:t>E. 5.4.3</w:t>
      </w:r>
    </w:p>
    <w:p>
      <w:r>
        <w:t>Wie die Vorinstanz ebenfalls zu Recht festhält, ist nicht nachvollziehbar, dass die Beschwerdeführerin problemlos mit gefälschten Papieren aus den Niederlanden nach Äthiopien und von dort via Deutschland in die Schweiz habe reisen können. Es scheint schlicht unmöglich, über internationale Flughäfen zu reisen, ohne kontrolliert zu werden. Darüber hinaus weist die Bemerkung im Strafbefehl vom (...) 2022 betreffend Widerhandlung gegen das AIG (SR 142.20), wonach seit dem 1. März 2021 eine Einreisesperre für den Schengen-Raum gegen die Beschwerdeführerin bestehe, darauf hin, dass sich die Beschwerdeführerin zwischenzeitlich in Europa aufgehalten haben muss (vgl. SEM-Akten 1197765-10/5).</w:t>
      </w:r>
    </w:p>
    <w:p>
      <w:r>
        <w:rPr>
          <w:b/>
        </w:rPr>
        <w:t>E. 5.4.4</w:t>
      </w:r>
    </w:p>
    <w:p>
      <w:r>
        <w:t>Insgesamt ist vor dem Hintergrund des geringen Beweiswertes der eingereichten Belege, deren fehlender Eignung, die Präsenz der Beschwerdeführerin an einem bestimmten Ort zu belegen, sowie der fehlenden Glaubhaftigkeit der behaupteten Ausreise aus den Niederlanden festzuhalten, dass es der Beschwerdeführerin - auch unter Berücksichtigung des im Rahmen der Dublin-III-VO anzuwendenden reduzierten Beweismasses - augenscheinlich nicht gelungen ist, den behaupteten Aufenthalt ausserhalb des Dublin-Raums für mehr als drei Monate nachzuweisen.</w:t>
      </w:r>
    </w:p>
    <w:p>
      <w:r>
        <w:rPr>
          <w:b/>
        </w:rPr>
        <w:t>E. 5.5</w:t>
      </w:r>
    </w:p>
    <w:p>
      <w:r>
        <w:t>Nach dem Gesagten liegt keine Übertragung der Zuständigkeit auf die Schweiz nach Art. 19 Abs. 2 Dublin-III-VO vor. Das am (...) September 2022 in der Schweiz gestellte Asylgesuch stellt keinen neuen Antrag im Sinne von Art. 20 Abs. 5 UAbs. 3 Dublin-III-VO dar, der ein neues Verfahren zur Bestimmung des zuständigen Mitgliedstaates auslösen würde.</w:t>
      </w:r>
    </w:p>
    <w:p>
      <w:r>
        <w:rPr>
          <w:b/>
        </w:rPr>
        <w:t>E. 5.6</w:t>
      </w:r>
    </w:p>
    <w:p>
      <w:r>
        <w:t>Angesichts des geringen Beweiswerts von Indizien im Sinne von Art. 22 Abs. 3 Bst. b/i Dublin-III-VO in Verbindung mit Anhang II, Verzeichnis B der Durchführungsverordnung sowie der unglaubhaften Aussagen der Beschwerdeführerin hinsichtlich der Reisen nach und von Äthiopien ist die kurze, aber nachvollziehbare Prüfung der Beweismittel durch das SEM nicht zu beanstanden, weshalb eine Rückweisung an die Vorinstanz zur rechtsgenüglichen Sachverhaltsabklärung nicht angezeigt ist. Der entsprechende Antrag ist abzuweisen.</w:t>
      </w:r>
    </w:p>
    <w:p>
      <w:r>
        <w:rPr>
          <w:b/>
        </w:rPr>
        <w:t>E. 6.1</w:t>
      </w:r>
    </w:p>
    <w:p>
      <w:r>
        <w:t>Im Weiteren ist mit dem SEM festzustellen, dass die Niederlande gemäss Art. 18 Abs. 1 Bst. d Dublin-III-VO auch nach Abschluss des Asylverfahrens bis zu einem allfälligen Wegweisungsvollzug oder einer allfälligen Regelung des Aufenthaltsstatus zuständig bleiben.</w:t>
      </w:r>
    </w:p>
    <w:p>
      <w:r>
        <w:rPr>
          <w:b/>
        </w:rPr>
        <w:t>E. 6.2</w:t>
      </w:r>
    </w:p>
    <w:p>
      <w:r>
        <w:t>Die Niederlande sind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kommen ihren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Die Beschwerdeführerin hat kein konkretes und ernsthaftes Risiko dargetan, dass die niederländischen Behörden in ihrem Fall den erwähnten völkerrechtlichen Verpflichtungen nicht nachkommen würden. Insbesondere gibt es keine Hinweise darauf, dass die Behandlung ihres Asylgesuchs mangelhaft gewesen und ihre Wegweisung in Verletzung des Non-Refoulement-Verbots verfügt worden sein könnte.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Die Überstellung der Beschwerdeführerin in die Niederlande führt gemäss den Akten nicht zu einer Kettenabschiebung, die gegen das Non-Refoulement-Prinzip verstossen würde, wie es in Art. 33 FK verankert ist (und sich ausserdem aus Art. 4 der EU-Grundrechtecharta, Art. 3 EMRK oder Art. 3 FoK ableiten lässt).</w:t>
      </w:r>
    </w:p>
    <w:p>
      <w:r>
        <w:rPr>
          <w:b/>
        </w:rPr>
        <w:t>E. 6.4</w:t>
      </w:r>
    </w:p>
    <w:p>
      <w:r>
        <w:t>Die Beschwerdeführerin wendet gegen die Überstellung in die Niederlande in erster Linie ein, sie führe eine unter den Schutz von Art. 8 EMRK fallende Beziehung mit ihrem seit 2010 in der Schweiz lebenden Landsmann F._______ (geb. [...]). Sie habe ihn bei ihrer ersten Einreise in die Schweiz im Jahr 2015 kennengelernt. Sie beide beabsichtigten, die Ehe einzugehen, sobald die erste Ehe ihres Freundes geschieden sei. Zum geschützten Familienkreis nach Art. 8 EMRK gehört in erster Linie die Kernfamilie, das heisst die Gemeinschaft der Ehegatten und die minderjährigen Kinder (BGE 144 II 1 E. 6.1). Die faktischen eheähnlichen Lebensbeziehungen fallen auch unter den Schutz des Art. 8 EMRK, soweit sie seit Langem eheähnlich gelebt werden und bezüglich Art und Stabilität in ihrer Substanz einer Ehe gleichkommen. Dabei kommt es im Wesentlichen auf das gemeinsame Wohnen respektive den gemeinsamen Haushalt, die Dauer und Stabilität der Beziehung, die finanzielle Verflochtenheit und die Bindung der Partner aneinander an (vgl. zum Ganzen Urteil des BGer 2C_880/2017 vom 3. Mai 2018 E. 3 m.H.; Urteil des BVGer D-1344/2022 vom 25. März 2022 6.2.1 m.H.). Die Beschwerdeführerin erklärt, sie habe seit ihrer Einreise Anfang Juni 2022 bis zu ihrem Asylgesuch vom (...) September 2022 bei ihrem Freund gewohnt und sei seit dem Nichteintretensentscheid des SEM wieder bei ihm untergekommen. Soweit ersichtlich haben die Beschwerdeführerin und ihr Freund ansonsten noch nie zusammengelebt. Entsprechend hat die Beschwerdeführerin anlässlich der Personalienaufnahme vom 22. September 2020 die Frage nach in der Schweiz lebenden Bezugspersonen verneint (vgl. SEM-Akten 197765-9/7 Ziff. 3.01). Die nähere Beziehung scheint daher erst nach Einreise der Beschwerdeführerin in die Schweiz vor wenigen Monaten aufgenommen worden zu sein. Die Beschwerdeführerin behauptet zwar, dass sie und ihr Freund Heiratsabsichten hätten. Dieser müsse sich aber zuerst scheiden lassen. Es sind folglich keine konkreten Hinweise auf einen unmittelbar bevorstehenden Eheschluss erkennbar. Ein allfälliges Ehevorbereitungsverfahren kann schliesslich auch von den Niederlanden aus vorangetrieben werden. Die Beschwerdeführerin kann unter den gegebenen Umständen aus Art. 8 EMRK nichts für sich ableiten.</w:t>
      </w:r>
    </w:p>
    <w:p>
      <w:r>
        <w:rPr>
          <w:b/>
        </w:rPr>
        <w:t>E. 6.5</w:t>
      </w:r>
    </w:p>
    <w:p>
      <w:r>
        <w:t>Medizinische Probleme wurden auf Beschwerdeebene keine mehr geltend gemacht, weshalb nicht weiter auf die im Dublin-Gespräch genannten gesundheitlichen Beschwerden einzugehen ist.</w:t>
      </w:r>
    </w:p>
    <w:p>
      <w:r>
        <w:rPr>
          <w:b/>
        </w:rPr>
        <w:t>E. 6.6</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in die Niederlande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7.1</w:t>
      </w:r>
    </w:p>
    <w:p>
      <w:r>
        <w:t>Gründe, die der Schweiz Anlass geben könnten, von ihrem Selbsteintrittsrecht nach Art. 17 Abs. 1 Satz 1 Dublin-III-VO Gebrauch zu machen, sind folglich nicht ersichtlich. Dabei gilt auch zu beachten, dass die Dublin-III-VO den Schutzsuchenden kein Recht einräumt, den ihren Antrag prüfenden Staat selber auszuwählen (vgl. auch BVGE 2010/45 E. 8.3).</w:t>
      </w:r>
    </w:p>
    <w:p>
      <w:r>
        <w:rPr>
          <w:b/>
        </w:rPr>
        <w:t>E. 7.2</w:t>
      </w:r>
    </w:p>
    <w:p>
      <w:r>
        <w:t>Die Beschwerde ist aus den dargelegten Gründen abzuweisen und die Verfügung der Vorinstanz ist zu bestätigen.</w:t>
      </w:r>
    </w:p>
    <w:p>
      <w:r>
        <w:rPr>
          <w:b/>
        </w:rPr>
        <w:t>E. 8</w:t>
      </w:r>
    </w:p>
    <w:p>
      <w:r>
        <w:t>Das Beschwerdeverfahren ist mit vorliegendem Urteil abgeschlossen, weshalb sich der Antrag auf Erlass vorsorglicher Massnahmen und auf Gewährung der aufschiebenden Wirkung als gegenstandslos erweist.</w:t>
      </w:r>
    </w:p>
    <w:p>
      <w:r>
        <w:rPr>
          <w:b/>
        </w:rPr>
        <w:t>E. 9</w:t>
      </w:r>
    </w:p>
    <w:p>
      <w:r>
        <w:t>Die Gesuche um Gewährung der unentgeltlichen Prozessführung und der amtlichen Rechtsverbeiständung sind abzuweisen, da die Begehren - wie sich aus den vorstehenden Erwägungen ergibt - als aussichtslos zu bezeichnen sind. Die Verfahrenskosten sind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