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E-5465/2016 vom 28. Juni 2018</w:t>
      </w:r>
    </w:p>
    <w:p>
      <w:r>
        <w:t>Bundesverwaltungsgericht, 2018-06-28, FR</w:t>
      </w:r>
    </w:p>
    <w:p>
      <w:r>
        <w:rPr>
          <w:b/>
        </w:rPr>
        <w:t xml:space="preserve">Quelle: </w:t>
      </w:r>
      <w:r>
        <w:t>https://mcp.opencaselaw.ch/entscheid/bvger_E-5465_2016</w:t>
      </w:r>
    </w:p>
    <w:p>
      <w:r>
        <w:t>FR: TAF E-5465/2016 du 28 juin 2018</w:t>
      </w:r>
    </w:p>
    <w:p>
      <w:r>
        <w:t>IT: TAF E-5465/2016 del 28 giugno 2018</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3.1</w:t>
      </w:r>
    </w:p>
    <w:p>
      <w:r>
        <w:t>En l'occurrence, il s'agit d'examiner la pertinence au sens de l'art. 3 LAsi des motifs de fuite allégués par le recourant. Celui-ci a fait valoir que ces motifs étaient liés à son appartenance à un groupe social déterminé.</w:t>
      </w:r>
    </w:p>
    <w:p>
      <w:r>
        <w:rPr>
          <w:b/>
        </w:rPr>
        <w:t>E. 3.2</w:t>
      </w:r>
    </w:p>
    <w:p>
      <w:r>
        <w:t>Il convient d'abord de souligner que la persécution au sens de la loi sur l'asile et de la Conv. réfugiés est toujours liée à la personne et non à son comportement (cf. ATAF 2014/28 consid. 8.4 s.). Ensuite, par « un certain groupe social » au sens de l'art. 1A Conv. réfugiés, on entend normalement des personnes appartenant à un groupe ayant la même origine et le même mode de vie ou le même statut social (cf. Haut Commissariat des Nations Unies pour les réfugiés [HCR], Guide et principes directeurs sur les procédures et critères à appliquer pour déterminer le statut des réfugiés au regard de la Convention de 1951 et du protocole de 1967 relatifs au statut des réfugiés [réédité], décembre 2011, no 77 p. 18). La notion d'« un certain groupe social » de l'art. 1A Conv. réfugiés correspond à celle du « groupe social déterminé » de l'art. 3 LAsi. La définition précitée de la première notion est donc valable pour la seconde.La répression ne doit toucher que des personnes qui se distinguent par une caractéristique sociale commune, immuable ou fondamentale ou du moins perçue de manière identifiable ; en d'autres termes, ces personnes ne seraient pas persécutées si elles n'avaient pas cette qualité. En outre, la discrimination basée sur cette caractéristique ne doit pas pouvoir être justifiée sur la base de motifs concrets, mais doit au contraire apparaître comme illégitime (cf. Walter Kälin, Grundriss des Asylverfahrens, Bâle/Francfort-sur-le-Main 1990, p. 95s).</w:t>
      </w:r>
    </w:p>
    <w:p>
      <w:r>
        <w:rPr>
          <w:b/>
        </w:rPr>
        <w:t>E. 3.3</w:t>
      </w:r>
    </w:p>
    <w:p>
      <w:r>
        <w:t>Compte tenu de cette définition, on ne voit pas en quoi le recourant appartiendrait à un groupe social déterminé du fait de ses fréquents séjours en Turquie et de ses liens familiaux avec sa mère et sa soeur vivant en couple en Turquie avec des Turcs. Il ressort des déclarations du recourant (cf. pv de l'audition du 12.11.2014, en particulier rép. 55, 59, 94 s. et 143 s.) que ses activités professionnelles avec des criminels et les méfaits de plusieurs d'entre eux seraient à la source de tous les problèmes qui l'auraient amené à quitter son pays. Il s'agit à l'évidence de motifs liés à son comportement (et non à son identité ou à l'identité d'une partie de sa famille) et distincts de ceux exhaustivement énumérés à l'art. 3 LAsi. Enfin, si, pour le reste, le recourant s'est senti victime de discriminations - qu'il n'a, au demeurant, pas contextualisées de manière claire et précise - en raison de ses liens avec la Turquie, celles-ci n'atteindraient de toute manière pas, en soi, le seuil de gravité pour être considérées comme étant des préjudices sérieux au sens de l'art. 3 LAsi.</w:t>
      </w:r>
    </w:p>
    <w:p>
      <w:r>
        <w:rPr>
          <w:b/>
        </w:rPr>
        <w:t>E. 3.4</w:t>
      </w:r>
    </w:p>
    <w:p>
      <w:r>
        <w:t>Au vu de ce qui précède, le recourant n'a pas rendu vraisemblable au sens de l'art. 7 LAsi qu'il avait été exposé dans son pays d'origine à un sérieux préjudice pour un motif prévu à l'art. 3 LAsi ni qu'il risquait de l'être en cas de retour dans son pays.</w:t>
      </w:r>
    </w:p>
    <w:p>
      <w:r>
        <w:rPr>
          <w:b/>
        </w:rPr>
        <w:t>E. 3.5</w:t>
      </w:r>
    </w:p>
    <w:p>
      <w:r>
        <w:t>Au vu de ce qui précède, le recours, en tant qu'il conteste le refus de reconnaissance de la qualité de réfugié et le rejet de la demande d'asile, doit être rejeté et la décision attaquée être confirmée sur ces points.</w:t>
      </w:r>
    </w:p>
    <w:p>
      <w:r>
        <w:rPr>
          <w:b/>
        </w:rPr>
        <w:t>E. 4.1</w:t>
      </w:r>
    </w:p>
    <w:p>
      <w:r>
        <w:t>Lorsqu'il rejette la demande d'asile, le SEM prononce, en règle générale, le renvoi de Suisse et en ordonne l'exécution (cf. art. 44 in initio LAsi).</w:t>
      </w:r>
    </w:p>
    <w:p>
      <w:r>
        <w:rPr>
          <w:b/>
        </w:rPr>
        <w:t>E. 4.2</w:t>
      </w:r>
    </w:p>
    <w:p>
      <w:r>
        <w:t>En l'occurrence, aucune exception à la règle générale du renvoi n'étant réalisée (cf. art. 32 de l'ordonnance 1 sur l'asile du 11 août 1999 [OA 1, RS 142.311]), le Tribunal est tenu, de par la loi, de confirmer cette mesure. Partant, la décision attaquée, en tant qu'elle prononce le renvoi de Suisse, doit être confirmée, et le recours, sur ce point, être rejeté.</w:t>
      </w:r>
    </w:p>
    <w:p>
      <w:r>
        <w:rPr>
          <w:b/>
        </w:rPr>
        <w:t>E. 5.1</w:t>
      </w:r>
    </w:p>
    <w:p>
      <w:r>
        <w:t>Selon l'art. 83 al. 1 LEtr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5.2</w:t>
      </w:r>
    </w:p>
    <w:p>
      <w:r>
        <w:t>Il s'agit d'examiner si c'est à juste titre que le SEM a estimé que l'exécution du renvoi du recourant était licite (consid. 5), raisonnablement exigible (consid. 6) et possible (consid. 7).</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6.3</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 CourEDH, arrêt F.H. c. Suède du 20 janvier 2009, 32621/06 ; CourEDH, arrêt Saadi c. Italie du 28 février 2008, 37201/06).</w:t>
      </w:r>
    </w:p>
    <w:p>
      <w:r>
        <w:rPr>
          <w:b/>
        </w:rPr>
        <w:t>E. 6.5</w:t>
      </w:r>
    </w:p>
    <w:p>
      <w:r>
        <w:t>En l'occurrence, ce n'est que de façon tardive, lors de l'audition sur les motifs d'asile, que le recourant a invoqué pour la première fois son principal motif de fuite. En effet, il n'a pas mentionné craindre des représailles de son associé et des hommes de main de celui-ci lors de sa première audition. De plus, ses déclarations sont divergentes en ce qui concerne la cause des actions entreprises à son encontre par les autorités géorgiennes de poursuite pénale (lors de la première audition : la suspicion qu'il s'était rendu coupable d'espionnage au profit de la Turquie ; lors de la seconde : la nécessité de l'entendre comme témoin « pour une affaire liée à la Turquie, à certaines personnes », respectivement l'obligation pour tout propriétaire, comme lui, d'une entreprise ayant un bureau à Erevan de payer des « impôts à la police pour qu'on vous laisse tranquille »). Ses déclarations lors de l'audition sur ses motifs d'asile, selon lesquelles les autorités de poursuite pénale l'avaient traité, selon son impression, comme un suspect, plutôt que comme le témoin qu'il était censé être (voire avaient cherché à obtenir de lui des avantages indus), sont à mettre en relation avec celles selon lesquelles il était alors, depuis environ une année, associé dans des affaires commerciales internationales à un criminel notoire, recherché dans un Etat voisin. Dans ces conditions, ses déclarations sur les motifs pour lesquels il aurait été convoqué comme témoin par la police, sur le déroulement des trois interrogatoires et leur contenu sont très imprécises, voire évasives (cf. pv de l'audition du 12.11.14, en particulier rép. 120 à 128 et 143 s.). Il s'est borné à dire qu'il avait toujours refusé de participer d'une quelconque manière aux activités criminelles auxquelles s'adonnait son associé, en particulier à des vols par métier ; ces déclarations paraissent d'autant moins crédibles qu'il s'est rendu coupable de recel et de tentative de recel dans les six mois après son arrivée en Suisse et qu'il a dissimulé devant les autorités cantonales de poursuite pénale l'identité du compatriote pour lequel il avait commis ces infractions en tant qu'intermédiaire. Partant, il y a lieu de retenir qu'il a dissimulé durant sa procédure d'asile des faits liés à ses motifs allégués de protection qu'il était le seul à connaître. Sa crédibilité personnelle fait donc défaut. Pour toutes ces raisons, ses allégués sur ses motifs de fuite d'Arménie ne sont pas vraisemblables. En conséquence, il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6.6</w:t>
      </w:r>
    </w:p>
    <w:p>
      <w:r>
        <w:t>S'agissant de son état de santé, le recourant ne se trouve pas dans un cas très exceptionnel pouvant soulever un problème au regard de l'art. 3 CEDH puisqu'il n'est pas dans une situation de décès imminent et qu'il peut accéder, dans son pays d'origine, à un traitement adéquat du diabète de type 1. Il n'est pas parvenu à établir l'inexactitude du contenu du rapport du 26 janvier 2017 de consulting médical du SEM. Il ressort de celui-ci que tant l'insulino-thérapie selon schéma basal-bolus qu'un traitement par pompe à insuline sont disponibles en Arménie. Par ailleurs, les antidiabétiques y sont distribués gratuitement. En outre, le recourant est apte à travailler et donc censé pouvoir participer aux coûts d'un suivi médical. Il peut solliciter l'octroi d'une aide au retour médicale au service cantonal de conseil en vue du retour, afin de garantir que le traitement de son diabète ne subisse pas d'interruption. Le SEM pourra communiquer les données médicales du recourant aux autorités arméniennes de réadmission dans l'intérêt de celui-ci (cf. art. 2 et annexe 1 ch. 1.4 de l'Accord entre le Conseil fédéral suisse et le Gouvernement de la République d'Arménie relatif à la réadmission de personnes en situation irrégulière [RS 0.142.111.569] ; voir aussi art. 8 al. 4 LAsi et art. 98 al. 2 let. e LAsi). Dans ces circonstances, le recourant est censé pouvoir accéder dans son pays à un traitement adéquat. Le constat de son endocrinologue selon lequel il ne pourra pas disposer en Arménie du même modèle de pompe à insuline avec système de mesure de la glycémie en continu que celui qui lui est loué en Suisse n'est pas déterminant. En effet, il ressort des certificats médicaux des 9 septembre 2016, 14 novembre 2016 et 17 mars 2018 que le risque en cas de contrôle non optimal de son diabète sous schéma basal-bolus est à bref ou moyen terme une instabilité glycémique avec des hypoglycémies et à long terme (seulement) des complications pouvant rapidement mettre le pronostic vital en jeu. Par conséquent, même dans l'hypothèse la moins favorable (compte tenu de la disponibilité de pompes à insuline en Arménie) d'une substitution de son traitement par pompe à insuline et système de mesure de la glycémie en continu, par une autre insulinothérapie sans pompe à son arrivée en Arménie, aucun élément n'indiquerait que cette substitution conduirait à un déclin grave, rapide et irréversible de son état de santé entraînant des souffrances intenses ou à une réduction significative de son espérance de vie, au sens de la jurisprudence de la CourEDH (cf. arrêt du 13 décembre 2016 en l'affaire Paposhvili c. Belgique, 41738/10, par. 183). Il convient encore de relever que la forte instabilité glycémique décrite sous schéma basal-bolus est liée à un manque passé d'adhésion du recourant au traitement de son trouble métabolique chronique. En effet, sur la base du dossier, seul un défaut de persistance dans la prise du traitement médicamenteux et le suivi des règles hygiéno-diététiques en lien avec la dépression dont il a été atteint en milieu carcéral peut être mis en évidence (voir en particulier Faits, let. H). Pour le moins, il n'est pas établi que la forte instabilité glycémique était due à un phénomène auquel il serait impossible au recourant de remédier, à l'avenir, même avec l'aide de ses thérapeutes. Pour le reste, rien n'indique que le recourant nécessite encore un traitement pour des troubles psychiques réactionnels à sa crainte d'un transfert en Pologne (cf. pv de l'audition du 12.11.14 rép. 9). En tout état de cause, le Tribunal a déjà eu l'occasion de juger que les soins nécessaires au traitement des troubles psychiques étaient disponibles en Arménie, en particulier à Erevan (voir notamment arrêt E-3575/2014 du 18 mars 2015 consid. 10.4.3.1 et réf. cit.) Il est d'ailleurs permis de penser que celui-ci a déjà bénéficié de soins pour des troubles psychiques dans cette ville, eu égard à ses déclarations en 2014 selon lesquelles, dix ans auparavant, des troubles psychiques, entretemps guéris, avaient été à l'origine d'une dispense militaire (cf. pv de l'audition du 12.11.14, rép. 10 à 12). A toutes fins utiles, il convient encore de mettre en évidence que, conformément à la jurisprudence constante (cf. notamment CourEDH, arrêt affaire A.S. c. Suisse, du 30 juin 2015, no 39350/13, par. 34 et réf. cit.), des menaces de suicide n'astreignent pas la Suisse à s'abstenir d'exécuter le renvoi, mais à prendre des mesures concrètes pour en prévenir la réalisation.</w:t>
      </w:r>
    </w:p>
    <w:p>
      <w:r>
        <w:rPr>
          <w:b/>
        </w:rPr>
        <w:t>E. 6.7</w:t>
      </w:r>
    </w:p>
    <w:p>
      <w:r>
        <w:t>Au vu de ce qui précède, l'exécution du renvoi du recourant sous forme de refoulement ne transgresse aucun engagement de la Suisse relevant du droit international, de sorte qu'elle s'avère licite au sens de l'art. 83 al. 3 LEtr a contrario.</w:t>
      </w:r>
    </w:p>
    <w:p>
      <w:r>
        <w:rPr>
          <w:b/>
        </w:rPr>
        <w:t>E. 7</w:t>
      </w:r>
    </w:p>
    <w:p>
      <w:r>
        <w:t>Il s'agit ensuite d'examiner l'exigibilité de l'exécution du renvoi, au sens de l'art. 83 al. 4 LEtr a contrario.</w:t>
      </w:r>
    </w:p>
    <w:p>
      <w:r>
        <w:rPr>
          <w:b/>
        </w:rPr>
        <w:t>E. 7.1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w:t>
      </w:r>
    </w:p>
    <w:p>
      <w:r>
        <w:rPr>
          <w:b/>
        </w:rPr>
        <w:t>E. 7.3</w:t>
      </w:r>
    </w:p>
    <w:p>
      <w:r>
        <w:t>Selon une jurisprudence constante, remontant à l'ancienne Commission suisse de recours en matière d'asile, l'exécution du renvoi des personnes en traitement médical en Suisse ne devient inexigible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(cf. Gabrielle Steffen, Soins essentiels, Un droit fondamental qui transcende les frontières ?, Bâle 2018, p. 150 ss). En effet,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7.4</w:t>
      </w:r>
    </w:p>
    <w:p>
      <w:r>
        <w:t>En l'espèce, l'Arménie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w:t>
      </w:r>
    </w:p>
    <w:p>
      <w:r>
        <w:rPr>
          <w:b/>
        </w:rPr>
        <w:t>E. 7.5</w:t>
      </w:r>
    </w:p>
    <w:p>
      <w:r>
        <w:t>S'agissant de la situation personnelle du recourant, il convient de retenir, pour des raisons similaires à celles mentionnées au consid. 6.6 auquel il est renvoyé, qu'il pourra accéder dans son pays d'origine, et plus particulièrement dans sa ville de provenance, à un traitement adéquat, conforme aux standards locaux de soins, non seulement de son diabète de type 1, mais également, en cas de besoin, de ses troubles psychiques. Par conséquent, il ne se trouve pas dans un cas de nécessité médicale au sens de l'art. 83 al. 4 LEtr. Pour le reste, il ne ressort du dossier aucun élément dont on pourrait inférer que l'exécution du renvoi impliquerait une mise en danger concrète du recourant.</w:t>
      </w:r>
    </w:p>
    <w:p>
      <w:r>
        <w:rPr>
          <w:b/>
        </w:rPr>
        <w:t>E. 7.6</w:t>
      </w:r>
    </w:p>
    <w:p>
      <w:r>
        <w:t>Pour ces motifs, l'exécution du renvoi doit être considérée comme raisonnablement exigible, au sens de l'art. 83 al. 4 LEtr a contrario, de sorte que la question de l'applicabilité de l'art. 83 al. 7 LEtr ne se pose pas.</w:t>
      </w:r>
    </w:p>
    <w:p>
      <w:r>
        <w:rPr>
          <w:b/>
        </w:rPr>
        <w:t>E. 8</w:t>
      </w:r>
    </w:p>
    <w:p>
      <w:r>
        <w:t>Enfin, l'exécution du renvoi est possible (cf. art. 83 al. 2 LEtr a contrario), le recourant étant en possession de documents suffisants pour rentrer dans son pays ou, à tout le moins, étant en mesure d'entreprendre toute démarche nécessaire auprès de la représentation de son pays d'origine en vue de l'obtention de documents de voyage lui permettant de quitter la Suisse (cf. art. 8 al. 4 LAsi et ATAF 2008/34 consid. 12).</w:t>
      </w:r>
    </w:p>
    <w:p>
      <w:r>
        <w:rPr>
          <w:b/>
        </w:rPr>
        <w:t>E. 9</w:t>
      </w:r>
    </w:p>
    <w:p>
      <w:r>
        <w:t>Au vu de ce qui précède, le recours, en tant qu'il porte sur l'exécution du renvoi, doit être rejeté, et la décision attaquée être confirmée sur ce point.</w:t>
      </w:r>
    </w:p>
    <w:p>
      <w:r>
        <w:rPr>
          <w:b/>
        </w:rPr>
        <w:t>E. 10.1</w:t>
      </w:r>
    </w:p>
    <w:p>
      <w:r>
        <w:t>Le recourant, qui a succombé dans ses conclusions, a été dispensé du paiement des frais de procédure par décision incidente du 26 octobre 2016. Partant, il est statué sans frais (cf. art. 63 al. 1 et 65 al. 1 PA).</w:t>
      </w:r>
    </w:p>
    <w:p>
      <w:r>
        <w:rPr>
          <w:b/>
        </w:rPr>
        <w:t>E. 10.2</w:t>
      </w:r>
    </w:p>
    <w:p>
      <w:r>
        <w:t>Une indemnité à titre d'honoraires et de débours est accordée au mandataire d'office (cf. art. 8 à 11 du règlement du 21 février 2008 concernant les frais, dépens et indemnités fixés par le Tribunal administratif fédéral [FITAF, RS 173.320.2], applicables par analogie conformément à l'art. 12 FITAF). Elle est fixée sur la base du décompte de prestations du 6 avril 2018 (cf. art. 8 par. 2, art. 14 FITAF) à un tarif horaire de 200 francs pour les actes effectués par l'avocat, conformément à la décision incidente du 10 février 2017, et à un tarif horaire de 110 francs pour les actes effectués au nom de celui-ci par l'avocate stagiaire. Partant, le montant de l'indemnité est arrêté à Fr. 6'022, TVA comprise. Eu égard aux revenus réalisés à compter du mois de février 2018 par le recourant qui est réputé avoir la charge de son épouse et de leurs deux enfants, il ne saurait être admis qu'il est revenu à meilleure fortune.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