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E-5463/2017 vom 27. November 2017</w:t>
      </w:r>
    </w:p>
    <w:p>
      <w:r>
        <w:t>Bundesverwaltungsgericht, 2017-11-27, DE</w:t>
      </w:r>
    </w:p>
    <w:p>
      <w:r>
        <w:rPr>
          <w:b/>
        </w:rPr>
        <w:t xml:space="preserve">Quelle: </w:t>
      </w:r>
      <w:r>
        <w:t>https://mcp.opencaselaw.ch/entscheid/bvger_E-5463_2017</w:t>
      </w:r>
    </w:p>
    <w:p>
      <w:r>
        <w:t>FR: TAF E-5463/2017 du 27 novembre 2017</w:t>
      </w:r>
    </w:p>
    <w:p>
      <w:r>
        <w:t>IT: TAF E-5463/2017 del 27 novembre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einen Schriftenwechsel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w:t>
      </w:r>
    </w:p>
    <w:p>
      <w:r>
        <w:rPr>
          <w:b/>
        </w:rPr>
        <w:t>E. 4.2</w:t>
      </w:r>
    </w:p>
    <w:p>
      <w:r>
        <w:t>Vorliegend ist zu prüfen, ob sich der Beschwerdeführer mit seinem im Februar 2017 unbestrittenermassen erfolgten Aufenthalt im Nordirak und der damals vor Ort getätigten Beantragung eines heimatlichen Ausweises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Vorinstanz führt in der angefochtenen Verfügung vom 30. August 2017 aus, der Beschwerdeführer sei freiwillig und ohne äusseren Zwang auf offiziellem Weg in seinen Heimatstaat gereist und habe sich durch die Beantragung eines heimatlichen Ausweises, namentlich der Identitätskarte, unter den Schutz des Heimatstaates gestellt. Die Schutzgewährung durch den Heimatstaat sei in seinem Fall durch die Ausstellung der Identitätskarte Nr. (...) am (...) 2017 erfolgt. Zusammenfassend sei deshalb festzuhalten, dass die von der Praxis entwickelten Bedingungen für einen Asylwiderruf und die Aberkennung der Flüchtlingseigenschaft erfüllt seien. Somit werde das Asyl widerrufen und die Flüchtlingseigenschaft aberkannt. Durch den Asylwiderruf und die Aberkennung der Flüchtlingseigenschaft unterstehe er nicht mehr der Flüchtlingskonvention. Die heimatlichen Ausweisschriften würden ihm durch die Migrationsbehörden des zuständigen Kantons ausgehändigt, sobald die vorliegende Verfügung rechtskräftig geworden sei.</w:t>
      </w:r>
    </w:p>
    <w:p>
      <w:r>
        <w:rPr>
          <w:b/>
        </w:rPr>
        <w:t>E. 5.2</w:t>
      </w:r>
    </w:p>
    <w:p>
      <w:r>
        <w:t>In der Rechtsmitteleingabe bestätigt der Beschwerdeführer zunächst, dass er am 5. Februar 2017 via Istanbul in den Nordirak eingereist und diesen, ebenfalls über den Flughafen C._______, am 18. Februar 2017 wieder verlassen habe. Ebenso sei korrekt, dass er im Besitze einer am (...) 2017 in B._______ ausgestellten Identitätskarte gewesen sei. Indes sei die Vorinstanz über weitere wichtige Sachverhaltselemente nicht in Kenntnis gesetzt worden: So sei der Auslöser der Reise in den Nordirak der unerwartete Tod seines ihm sehr nahestehenden Onkels väterlicherseits, (...), am (...) 2017 gewesen. Dieser sei (...) für den Beschwerdeführer von imminent wichtiger Bedeutung gewesen, da der Beschwerdeführer - wie er anlässlich des Asylverfahrens den Schweizer Behörden dargelegt habe - erst nach dessen Intervention bei (...) aus dem Gefängnis freigekommen sei. Mehrere nahe Verwandte des Beschwerdeführers seien im Rahmen von Stammesstreitigkeiten umgekommen und der Beschwerdeführer sei insgesamt seinem Onkel (...), der ihn auch einmal in der Schweiz besucht habe, zu Dank verpflichtet gewesen. Die Todesnachricht (...) habe bei dem seit Jahren unter (...) leidenden Beschwerdeführer (Bestätigung einer seit Jahren bestehenden [...] und Einnahme von [...] durch die Hausärztin mit Email vom 22. September 2017) grosse Emotionen ausgelöst, weshalb er überstürzt den Beschluss gefasst habe, für die Beerdigung in den Nordirak zurückzukehren. Seine Hausärztin habe in der Email vom 22. September 2017 ebenfalls die Vermutung geäussert, dass der Beschwerdeführer die Bedeutung seiner Rückreise nicht erfasst, sondern einfach instinktiv gehandelt habe, da er sich wohl in einem emotionalen Ausnahmezustand befunden habe. Aus Nervosität und Trauer habe er schliesslich den Anschlussflug in Istanbul nach C._______ und folglich auch das Begräbnis selbst verpasst. Die Ein- und Ausreise über den Flughafen in C._______ sei hingegen problemlos verlaufen. Er habe lediglich mit Verwandten das Grab seines Onkels besucht und dort tief betroffen von diesem Abschied genommen. Schliesslich habe er sich die ganze Zeit bei Familienangehörigen aufgehalten und sich - ausser beim Abschiednehmen am Grab - nicht in der Öffentlichkeit bewegt. Betreffend die ausgestellte irakische Identitätskarte wird vorgebracht, dass der Beschwerdeführer sich diese nicht persönlich habe ausstellen lassen, sondern bereits früher seinen noch in B._______ lebenden Bruder bevollmächtigt habe, eine solche für ihn zu beschaffen. Er habe mit dieser sein korrektes Geburtsdatum ([...]) belegen wollen, damit dieses hier in der Schweiz berichtigt werde. Die entsprechende Bevollmächtigung des Bruders könne allenfalls nachgereicht werden. In der Sache wird dem SEM vorab vorgehalten, es hätte aufgrund der Angaben in der Stellungnahme konkrete Hinweise auf eine (...) Belastung des Beschwerdeführers erhalten, weshalb es im Rahmen der Untersuchungspflicht gehalten gewesen wäre, diesbezüglich weitere Abklärungen zu tätigen oder den Beschwerdeführer aufzufordern, entsprechende Beweismittel einzureichen. Aufgrund dieses rechtswidrigen Unterlassens sei somit fraglich, ob der Sachverhalt überhaupt rechtsgenügend erstellt worden sei, weshalb eventualiter eine Rückweisung der Sache zur Neubeurteilung beantragt werde. Aufgrund des beschriebenen emotionalen Ausnahmezustandes - als Folge der Todesnachricht des Onkels in Verbindung mit dem von der Hausärztin bestätigten (...) Leiden und der damit einhergehenden Medikamenteneinnahme - könne zudem aufgrund des moralischen und seelischen Druckes nicht auf Freiwilligkeit der Rückkehr geschlossen werden. Betreffend die Einreise über den offiziellen Flughafen in C._______ wird festgestellt, dieser werde zum einen sehr stark frequentiert. Der Beschwerdeführer habe zum anderen seinen Heimatstaat seit mehr als 14 Jahren nicht mehr betreten, weshalb er nicht zwingend damit habe rechnen müssen, bei der Einreise am Flughafen nach so langer Abwesenheit mit Fahndungsfotos gesucht zu werden. Dies bedeute indes nicht, dass er heute nicht mehr in Gefahr sei. Als Belege für diese Vorbringen wurden eine Email-Nachricht der Hausärztin des Beschwerdeführers vom 22. September 2017, Kopien eines Dokumentes, auf welchem er als Kind abgebildet sei, sowie von Fotos des Beschwerdeführers mit dem verstorbenen Onkel und trauernd an dessen Grab eingereicht.</w:t>
      </w:r>
    </w:p>
    <w:p>
      <w:r>
        <w:rPr>
          <w:b/>
        </w:rPr>
        <w:t>E. 6.1</w:t>
      </w:r>
    </w:p>
    <w:p>
      <w:r>
        <w:t>Vorab ist die formelle Rüge der Verletzung der Untersuchungspflicht durch das SEM und damit auch der Eventualantrag auf Rückweisung der Sache zur Neubeurteilung als offensichtlich unbegründet abzuweisen. Entgegen den Vorbringen in der Beschwerdeschrift oblag es dem SEM einzig aufgrund des generellen Hinweises des Beschwerdeführers auf seine (...) Probleme in der Stellungnahme vom 21. Juni 2017 (vgl. Sachverhalt Bst. C) nicht, im Rahmen des Untersuchungsgrundsatzes weitere Abklärungen zu tätigen oder ihn aufzufordern, entsprechende Beweismittel einzureichen, zumal in der Stellungnahme die Aussagen zu den (...) Problemen nicht in direkten Zusammenhang mit der Todesnachricht des Onkels oder der Heimkehr gebracht wurden. Eine Verletzung seiner Abklärungspflicht kann dem SEM nicht vorgeworfen werden. Die Frage einer Bestätigung der Freiwilligkeit der Heimreise, trotz der zusätzlich auf Beschwerdeebene vorgetragenen Sachverhaltsangaben, ist indes eine materielle Frage und nachfolgend abzuhandeln.</w:t>
      </w:r>
    </w:p>
    <w:p>
      <w:r>
        <w:rPr>
          <w:b/>
        </w:rPr>
        <w:t>E. 6.2</w:t>
      </w:r>
    </w:p>
    <w:p>
      <w:r>
        <w:t>Zu den einzelnen Voraussetzungen der Aberkennung der Flüchtlingseigenschaft und des Asylwiderrufs stellt das Gericht fest, dass das Kriterium der Freiwilligkeit vorliegend - trotz des Hinweises auf Beschwerdeebene, dass der Beschwerdeführer unter einem immensen seelischen und moralischen Druck gestanden sei, dem Begräbnis seines verstorbenen Onkels beizuwohnen - erfüllt ist. Vorab wird dieser enorme (...) Druck auch auf Beschwerdestufe nicht substantiiert dargetan. Zwar soll nicht grundsätzlich angezweifelt werden, dass der Beschwerdeführer in (...) Hinsicht belastet ist und deswegen offenbar auch Medikamente einnimmt; einer (...) Behandlung folge er demgegenüber nicht mehr. Auch hat das Bundesverwaltungsgericht keinen Anlass, daran zu zweifeln, dass der Tod seines Onkels den Beschwerdeführer zusätzlich belastet hat. Von dem geltend gemachten (...) Ausnahmezustand geht das Bundesverwaltungsgericht aber nicht aus. Selbst in Berücksichtigung der in der Rechtsmitteleingabe vorgebrachten zeitlichen Umstände hätte zumindest erwartet werden dürfen, dass genauere Angaben zur Erkrankung des Beschwerdeführers gemacht werden können. Die Angabe der Hausärztin, "sie könne sich gut vorstellen", dass sich der Beschwerdeführer die Bedeutung der Rückreise nicht überlegt habe und "instinktiv" gehandelt habe und sie glaube, er sei in einem "emotionalen Ausnahmezustand" gewesen, vermag jedenfalls den geltend gemachten immensen Druck nicht glaubhaft darzutun. Auf die Einforderung eines eingehenden ärztlichen Berichtes, was der Beschwerdeführer für den Fall des Zweifels anbietet, kann jedoch verzichtet werden. Denn selbst wenn der Verstorbene dem Beschwerdeführer viel bedeutet hat und der Wunsch, an seiner Beerdigung teilzunehmen verständlich ist, sind doch die vom Beschwerdeführer für seine Heimatreise angeführten Beweggründe nicht zwingend in dem Sinne, dass eine Heimatreise absolut unumgänglich gewesen wäre. Zum einen ging es nicht um den Besuch eines alten oder schwer kranken nahen Verwandten, den der Beschwerdeführer noch ein letztes Mal hätte sehen wollen, sondern um die Teilnahme am Begräbnis eines Onkels, von dessen Hinschied er erst über (...) erfahren habe. So verständlich sein Wunsch, wie erwähnt auch ist, so hätte der Beschwerdeführer doch auch aus der Ferne um seinen Onkel trauern können, umso mehr als er schliesslich dem eigentlichen Begräbnis gar nicht beiwohnte. Die Heimatreise war denn auch offensichtlich nicht alleine Ausfluss eines seelischen oder moralischen Druckes, sondern darf insbesondere im Zusammenhang mit der Ausstellung der irakischen Identitätskarte während seines Besuches durchaus als Ausdruck beabsichtigter Unterschutzstellung interpretiert werden (vgl. weiter unten). Angesichts dieser Umstände erweist sich die Sachlage als nicht schwerwiegend genug, um auf einen derart hohen seelischen und moralischen Druck beim Beschwerdeführer schliessen zu können, dass hierdurch das Kriterium der Freiwilligkeit in Abrede gestellt werden müsste. Es soll an dieser Stelle nicht verkannt werden, dass es gewiss eine schwierige Situation darstellt, als Flüchtling über viele Jahre getrennt von nahen Familienangehörigen in der Heimat zu leben, ohne die Möglichkeit zu haben, diese in der Heimat zu besuchen oder deren Begräbnis beizuwohnen. Nichtsdestotrotz ist daran zu erinnern, dass der Schutz desjenigen Staates, der einer Person den Flüchtlingsstatus gewährt, ein subsidiärer ist. Reist der Betroffene zu einem Besuch in seinen Heimatstaat, bringt er damit grundsätzlich zum Ausdruck, dass er keiner flüchtlingsrechtlichen Gefährdung seitens seines Heimatstaates mehr ausgesetzt ist und den subsidiären Schutz nicht mehr benötigt, weshalb der entsprechende Status, bei gegebenen Voraussetzungen, zu entziehen ist (vgl. oben E. 4.2). 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und gemäss den Angaben des Beschwerdeführers erstellt, dass er im Besitz eines irakischen Nationalitätsausweises, ausgestellt in B._______ im Jahr 2011, und einer irakischen Identitätskarte, ausgestellt am (...) 2017, gewesen ist. Letztere hat er sich somit anlässlich seines Aufenthaltes ausstellen lassen. Zusätzlich ist aufgrund der im Schweizer Reisepass für Flüchtlinge eingetragenen Stempel erwiesen, dass er damit im Februar 2017 über den Flughafen C._______ in seinen Heimatstaat ein- und wieder ausgereist ist. Die Vorinstanz führte dazu aus, der Beschwerdeführer habe sich damit offenkundig dem Schutz seines Heimatstaates unterstellt. Diese Einschätzung ist vollumfänglich zu bestätigen. Das auf Beschwerdeebene vorgebrachte Argument, er habe während seines Aufenthaltes betreffend die Ausstellung der irakischen Identitätskarte nicht persönlich vorgesprochen und sich auch sonst nicht in der Öffentlichkeit bewegt - abgesehen vom Aufenthalt am Grab -, erkennt das Gericht als Schutzbehauptung. In antizipierender Beweiswürdigung kann auf die angebotene Bevollmächtigung des Bruders verzichtet werden. Ferner hat es sich offenbar beim Verstorbenen um eine bekannte Persönlichkeit (...) gehandelt, weshalb der Beschwerdeführer gerade mit seinem Aufenthalt am Grab mit einer Konfrontation hätte rechnen müssen. Zudem zeigt sich das Gericht - auch angesichts des 2011 ausgestellten Nationalitätsausweises, also nach der Anerkennung des Beschwerdeführers als Flüchtling und der Asylgewährung - nicht überzeugt vom Erklärungsversuch, dass er damit nur den Schweizer Behörden sein "wahres" Geburtsdatum habe belegen wollen. 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von dessen Organen gesehen werden. Aufgrund der Tatsache, dass der Beschwerdeführer problemlos im Jahr 2011 einen heimatlichen Nationalitätsausweis erhalten hat, im Februar 2017 problemlos in den Irak hat einreisen, sich dort für ungefähr zwei Wochen hat aufhalten und während seines Aufenthaltes sich eine irakische Identitätskarte hat ausstellen lassen, und in der Folge wieder ungehindert aus dem Land hat ausreisen können, bestehen objektive Anhaltspunkte dafür, dass er im Irak nicht (mehr) gefährdet beziehungsweise effektiv geschützt ist. Entsprechend ist auch der Subeventualantrag zur Edition der Akten aus dem erstinstanzlichen Verfahren abzuweisen.</w:t>
      </w:r>
    </w:p>
    <w:p>
      <w:r>
        <w:rPr>
          <w:b/>
        </w:rPr>
        <w:t>E. 6.3</w:t>
      </w:r>
    </w:p>
    <w:p>
      <w:r>
        <w:t>Zusammenfassend sind vorliegend alle in Art. 1 C Ziff. 1 FK respektive Art. 63 Abs. 1 Bst. b AsylG statuierten Voraussetzungen für eine Aberkennung der Flüchtlingseigenschaft und den damit verbundenen Widerruf des Asyls erfüllt. Die von der Vorinstanz gestützt auf Art. 63 Abs. 1 Bst. b AsylG verfügte Aberkennung der Flüchtlingseigenschaft und der Widerruf des Asyl erfolgten zu Recht und sind verhältnismässig, zumal der Aufenthalt des Beschwerdeführers in der Schweiz durch die Aberkennung der Flüchtlingseigenschaft und den Asylwiderruf (derzeit) nicht beeinträchtigt ist. Zudem erstrecken sich der vorliegend bestätigte Asylwiderruf und die Aberkennung der Flüchtlingseigenschaft nicht auf seine Ehefrau und die Kinder (Art. 63 Abs. 4 AsylG).</w:t>
      </w:r>
    </w:p>
    <w:p>
      <w:r>
        <w:rPr>
          <w:b/>
        </w:rPr>
        <w:t>E. 7</w:t>
      </w:r>
    </w:p>
    <w:p>
      <w:r>
        <w:t>Aus diesen Erwägungen ergibt sich, dass die angefochtene Verfügung Bundesrecht nicht verletzt und auch sonst nicht zu beanstanden ist (Art. 106 AsylG). Die Beschwerde ist demzufolge abzuweisen.</w:t>
      </w:r>
    </w:p>
    <w:p>
      <w:r>
        <w:rPr>
          <w:b/>
        </w:rPr>
        <w:t>E. 8.1</w:t>
      </w:r>
    </w:p>
    <w:p>
      <w:r>
        <w:t>Bei diesem Ausgang des Verfahrens sind die Kosten grundsätzlich dem Beschwerdeführer aufzuerlegen (Art. 63 Abs. 1 VwVG). Der Antrag auf Gewährung der unentgeltlichen Prozessführung im Sinne von Art. 65 Abs. 1 VwVG ist abzuweisen. Vorliegend fiel nämlich beim Beschwerdeeingang aufgrund summarischer Prüfung die klare Beweislage auf, insbesondere hinsichtlich der Tatsachen, dass die Ein- und Ausreise in den Nordirak problemlos erfolgte, dass während des Aufenthaltes eine irakische Identitätskarte ausgestellt worden war, und die Heimreise nicht alleine aufgrund eines seelischen oder moralischen Druckes, dem Begräbnis des Onkels unbedingt beizuwohnen, angetreten worden war. Somit sind die Begehren als aussichtslos zu bezeichnen, womit eine der kumulativen Voraussetzungen von Art. 65 Abs. 1 VwVG nicht erfüllt ist. Die Verfahrenskosten von insgesamt Fr. 750.- (Art. 1-3 des Reglements vom 21. Februar 2008 über die Kosten und Entschädigungen vor dem Bundesverwaltungsgericht [VGKE, SR 173.320.2]) sind vom Beschwerdeführer zu entrichten.</w:t>
      </w:r>
    </w:p>
    <w:p>
      <w:r>
        <w:rPr>
          <w:b/>
        </w:rPr>
        <w:t>E. 8.2</w:t>
      </w:r>
    </w:p>
    <w:p>
      <w:r>
        <w:t>Der Antrag auf Beigabe einer amtlichen Rechtsvertretung im Sinne von Art. 110a Abs. 1 AsylG ist ebenfalls abzuweisen, nachdem der Beschwerdeführer von der Bezahlung von Verfahrenskosten nicht befreit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