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E-5462/2007 vom 4. März 2008</w:t>
      </w:r>
    </w:p>
    <w:p>
      <w:r>
        <w:t>Bundesverwaltungsgericht, 2008-03-04, FR</w:t>
      </w:r>
    </w:p>
    <w:p>
      <w:r>
        <w:rPr>
          <w:b/>
        </w:rPr>
        <w:t xml:space="preserve">Quelle: </w:t>
      </w:r>
      <w:r>
        <w:t>https://mcp.opencaselaw.ch/entscheid/bvger_E-5462_2007</w:t>
      </w:r>
    </w:p>
    <w:p>
      <w:r>
        <w:t>FR: TAF E-5462/2007 du 4 mars 2008</w:t>
      </w:r>
    </w:p>
    <w:p>
      <w:r>
        <w:t>IT: TAF E-5462/2007 del 4 marzo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 délai prescrits par la loi, le recours est recevable (cf. art. 48 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invoque comme motif d'asile le fait d'avoir été violemment battu à deux reprises par des inconnus à cause de sa réputation de (...). Pour prouver ses dires, il a produit les certificats des 2 décembre 2006 et 15 mai 2007 de son médecin, les déclarations du 15 mars et 16 mai 2007 de son père devant leur avocat et l'attestation du 27 juillet 2007 de cet avocat. Au vu des pièces précitées, le Tribunal ne conteste pas que le recourant ait été victime d'atteintes à son intégrité corporelle. Toutefois, ce motif n'est pas pertinent en matière d'asile. En effet, les atteintes subies par l'intéressé ne constituent pas en soi un sérieux préjudice au sens de l'art. 3 LAsi, dès lors qu'elles ne peuvent être mises en relation avec une probabilité suffisante avec des raisons touchant à sa race, à sa religion, à sa nationalité, à son appartenance à un groupe social déterminé ou à ses opinions politiques. En particulier, sa déclaration selon laquelle les auteurs de ses actes, des inconnus, étaient liés avec la police parce que celle-ci n'avait pas procédé à leur arrestation (cf. pv. de l'audition du 3 juillet 2007 rép. 45, 73 à 75) est sans fondement. Tout porte ainsi à croire que le recourant a été victime d'actes crapuleux. Partant, le danger de récidive qu'il a allégué doit être examiné sous l'angle de l'exécution de son renvoi dans son pays d'origine, et plus particulièrement, de la licéité de cette mesure.</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du 25 avril 1990, in: FF 1990 II 624).</w:t>
      </w:r>
    </w:p>
    <w:p>
      <w:r>
        <w:rPr>
          <w:b/>
        </w:rPr>
        <w:t>E. 6.2</w:t>
      </w:r>
    </w:p>
    <w:p>
      <w:r>
        <w:t>L'exécution du renvoi ne contrevient pas au principe de non-refoulement de l'art. 5 LAsi. Comme exposé plus haut, l'intégrité du recourant n'est pas menacée pour l'un des motifs mentionnés à l'art. 3 al. 1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no 18 consid. 14b let. ee p. 186 s.).</w:t>
      </w:r>
    </w:p>
    <w:p>
      <w:r>
        <w:rPr>
          <w:b/>
        </w:rPr>
        <w:t>E. 6.5</w:t>
      </w:r>
    </w:p>
    <w:p>
      <w:r>
        <w:t>En l'occurrence, l'intéressé a admis n'avoir jamais eu d'activité politique (cf. pv. de l'audition du 3 juillet 2007 rép. 20) ni le moindre problème personnel dans son pays ou avec les autorités de son pays avant l'incident du 2 décembre 2006 (cf. pv. de l'audition du 18 juin 2007 p. 5). Agressé à deux reprises par des inconnus, il a allégué un danger de récidive en cas de renvoi dans son pays. La Cour de Strasbourg n'a certes pas exclu que l'art. 3 CEDH puisse aussi s'appliquer lorsque le danger émane de personnes ou de groupes qui ne relèvent pas de la fonction publique. Elle a toutefois souligné la nécessité de démontrer que le risque existe réellement et que les autorités de destination ne sont pas en mesure d'y obvier par une protection appropriée (cf. arrêt de la Cour européenne des droits de l'homme du 29 avril 1997 en l'affaire H.L.R. c. France, affaire no 11/1996/630/813, requête no 24573/94, consid. 40). Selon les renseignements généraux dont dispose le Tribunal, les forces de sécurité du Kosovo, que ce soit la Force pour le Kosovo (KFOR), la Mission d'administration intérimaire des Nations Unies au Kosovo (MINUK) et la police locale, mettent tout en oeuvre afin de lutter contre les éventuels ressentiments et règlements de compte de la population suite à la guerre au Kosovo. Le recourant a précisé provenir du village de C._______, municipalité de B._______. Selon les informations générales, cette municipalité, formée de (...) villages, dispose d'une présence de forces de sécurité et d'une organisation judiciaire. Dans le cas présent, les éléments figurant au dossier ne sont pas suffisants pour convaincre le Tribunal que le recourant a entrepris suffisamment de démarches pour chercher une protection appropriée et que les autorités ne sont pas en mesure de lui apporter cette protection. En effet, l'intéressé a certes déclaré avoir porté plainte, en vain, à la police de B._______, à celle de H._______, à la KFOR et même au Ministère de la Justice à (...). Ses déclarations sur ce point sont toutefois inconsistantes, voire divergentes. En effet, selon une première version, il aurait porté plainte à la police de B._______ par l'intermédiaire de son avocat, selon une seconde version, il l'aurait fait lui-même et, interrogé sur cette divergence, il n'a pas été capable de donner une explication. De plus, le récit de l'intéressé sur les auditions lors des dépôts de plainte est inconsistant : il s'est limité à déclarer que la police de H._______ lui a posé les mêmes questions que celles posées par l'ODM lors de l'audition du 3 juillet 2007. Du reste, l'intéressé n'a pas été capable d'expliquer comment son avocat avait oeuvré à la défense de ses intérêts, se contentant d'affirmer que celui-ci a fait son devoir d'avocat (cf. pv. de l'audition du 3 juillet 2007 rép. 22, 50, 55, 56, 61, 64, 65 et 86 et pv. de l'audition du 18 juin 2007 p. 5) Force est encore de relever qu'il n'a fourni aucune preuve des prétendus dépôts de plainte auprès des diverses autorités de justice et de police. Dans ce contexte, l'attestation de son avocat du 27 juillet 2007 est vague pour le seul élément nouveau qu'elle contient, à savoir l'information faite aux « organes des Affaires intérieures de la Serbie » puisque ce document ne précise ni la personne qui a informé cette autorité, ni l'autorité précise informée, ni le moyen utilisé pour l'en informer, ni la date à laquelle l'information a été transmise, ni le contenu précis de l'information transmise. Du reste, contre toute attente, l'avocat ne fait part, par cette attestation, d'aucune autre démarche concrète que lui-même ou son client aurait entreprise. Partant, on ne saurait accorder une quelconque valeur probante à ce document s'agissant des démarches entreprises par l'avocat ou l'intéressé pour dénoncer le cas aux autorités locales compétentes au Kosovo. Au vu de ce qui précède, le Tribunal conclut à l'absence de motifs sérieux et avérés de penser que l'exécution du renvoi du recourant l'exposera à un risque réel de subir des traitements inhumains ou dégradants, au sens de l'art. 3 CEDH, que les autorités de destination ne seraient pas en mesure d'obvier par une protection appropriée. Partant, la décision attaquée ordonnant l'exécution de son renvoi de Suisse ne viole pas l'art. 3 CEDH.</w:t>
      </w:r>
    </w:p>
    <w:p>
      <w:r>
        <w:rPr>
          <w:b/>
        </w:rPr>
        <w:t>E. 6.6</w:t>
      </w:r>
    </w:p>
    <w:p>
      <w:r>
        <w:t>Dès lors, l'exécution du renvoi du recourant sous forme de refoulement ne transgresse aucun engagement de la Suisse relevant du droit international, de sorte qu'elle s'avère licite.</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JICRA 1998 n° 22 p. 191).</w:t>
      </w:r>
    </w:p>
    <w:p>
      <w:r>
        <w:rPr>
          <w:b/>
        </w:rPr>
        <w:t>E. 7.2</w:t>
      </w:r>
    </w:p>
    <w:p>
      <w:r>
        <w:t>Il est notoire que le Kosovo ne connaît pas une situation de guerre, de guerre civile ou de violences généralisées sur l'ensemble de son territoire (en dépit des problèmes qui l'affectent depuis la déclaration d'indépendance de ses autorités, spécialement dans sa partie serbe sise au nord de Mitrovica, et de sporadiques épisodes de violence interethnique) qui permettrait d'emblée - et indépendamment des circonstances du cas d'espèce - de présumer, à propos de tous ses ressortissants, l'existence d'une mise en danger concrète au sens de l'art. 83 al. 4 LEtr.</w:t>
      </w:r>
    </w:p>
    <w:p>
      <w:r>
        <w:rPr>
          <w:b/>
        </w:rPr>
        <w:t>E. 7.3</w:t>
      </w:r>
    </w:p>
    <w:p>
      <w:r>
        <w:t>En outre, il ne ressort du dossier aucun élément dont on pourrait inférer que l'exécution du renvoi impliquerait une mise en danger concrète du recourant. En effet, celui-ci est jeune, sans charge de famille et d'ethnie albanaise, ethnie majoritaire au Kosovo. Il a déclaré (...), mais être au bénéfice d'une expérience professionnelle de (...). Dans ce contexte, il devrait lui être possible de s'installer dans une autre partie du Kosovo, s'il ne veut pas retourner dans le village de C._______ jugé trop proche de la frontière avec la Serbie. Le recourant a argué suivre un traitement médical en Suisse parce qu'il souffrait « des suites physiques et du choc psychologique de ces attaques ». Malgré ses réitérées affirmations (cf. mémoire de recours p. 2 ; réplique du 29 octobre 2007 : « un certificat vous parviendra dans les jours à venir »), celui-ci n'a, à ce jour, fourni aucun constat médical permettant d'étayer cet argument et d'informer le Tribunal d'un éventuel diagnostic posé en Suisse. Il ressort certes de l'ordonnance du 3 août 2007 que des médicaments antidépresseur (Zoloft), hypnotique (Imovane), antifongique (Oceral crème) et antalgique (Dafalgan) lui ont été prescrits. Il a toutefois déclaré suivre en Suisse le même traitement médicamenteux qu'au Kosovo (cf. pv. de l'audition du 3 juillet 2007 rép. 42). Il a également déclaré avoir pu bénéficier d'une consultation tous les 15 jours chez son médecin à B._______ (cf. pv. de l'audition du 3 juillet 2007 rép. 41). En conséquence, il n'y a aucune raison de penser, à en croire ses propres déclarations, qu'il ne pourra pas bénéficier d'un traitement adéquat en cas de retour au Kosovo. Partant, son état de santé ne s'oppose pas à son renvoi de Suisse.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par l'entremise des autorités compétentes, toute démarche nécessaire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du recourant, conformément à l'art. 63 al. 1 PA et aux art. 2 et 3 let. b du règlement du 11 décembre 2006 concernant les frais, dépens et indemnités fixés par le Tribunal administratif fédéral (FITAF, RS 173.320.2). Toutefois, sa demande d'assistance judiciaire partielle ayant été admise, il n'y a pas lieu de percevoir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