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E-5457/2013 vom 20. Februar 2014</w:t>
      </w:r>
    </w:p>
    <w:p>
      <w:r>
        <w:t>Bundesverwaltungsgericht, 2014-02-20, DE</w:t>
      </w:r>
    </w:p>
    <w:p>
      <w:r>
        <w:rPr>
          <w:b/>
        </w:rPr>
        <w:t xml:space="preserve">Quelle: </w:t>
      </w:r>
      <w:r>
        <w:t>https://mcp.opencaselaw.ch/entscheid/bvger_E-5457_2013</w:t>
      </w:r>
    </w:p>
    <w:p>
      <w:r>
        <w:t>FR: TAF E-5457/2013 du 20 février 2014</w:t>
      </w:r>
    </w:p>
    <w:p>
      <w:r>
        <w:t>IT: TAF E-5457/2013 del 20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mittlerweile volljährig gewordene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vorliegend auf die Durchführung eines Schriftenwechsels verzichtet. 2.1 Gemäss Art. 2 Abs. 1 AsylG gewährt die Schweiz Flüchtlingen Asyl, sofern keine Asylausschlussgründe i.S. von Art. 50 ff. AsylG vorliegen.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i.S.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Raum für gewisse Einwände und Zweifel an den Vorbringen der asylsuchenden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 2.3 Das BFM begründete seine ablehnende Haltung im Flüchtlings- und Asylpunkt damit, dass die Angaben des (...) Beschwerdeführers den Anforderungen an die Flüchtlingseigenschaft und die Glaubhaftmachung gemäss Art. 3 und 7 AsylG nicht standhalten würden. So sei er seit drei Jahren nicht mehr zur Schule gegangen, weshalb die während der Schulzeit von Schuldirektor und Lehrer erhaltenen Schläge für seine Ausreise aus der Türkei nicht kausal gewesen sein können. Seine Ausführungen zu den Anwerbungsversuchen zu Spitzeltätigkeiten seien in wesentlichen Punkten zu wenig konkret, detailliert und differenziert dargelegt worden, weshalb er den Eindruck vermittle, das Geschilderte nicht selbst erlebt zu haben. Den wiederholten Aufforderungen des BFM, das Erlebte ausführlicher zu beschreiben, sei er nicht nachgekommen. Er habe sich unfähig gezeigt, Situationen, Abläufe wesentlicher Ereignisse, ungefähre Zeitverhältnisse und sein Verhalten näher zu beschreiben; beispielsweise, als die Gendarmen das erste Mal zur Schule gekommen seien oder ihren Hund auf ihn gehetzt hätten. Seine Ausführungen seien unsubstanziiert, pauschal und oberflächlich. Er habe nicht nachvollziehbar darlegen können, weshalb ihn die Behörden als Spitzel hätten engagieren wollen, habe er doch als (...)-Jähriger über kein Insiderwissen verfügt. Weiter sei unerklärlich, weshalb ihm trotz massiver Drohungen seitens der Gendarmen nie etwas geschehen sei, und er trotz dieser Probleme wiederholt sein Heimatdorf besucht habe. Mithin sei nicht glaubhaft gemacht, dass ihn die Behörden als Spitzel hätten gewinnen wollen. Weiter habe er trotz Aufforderung die Demonstration im Jahr 2012 und den Polizeiangriff nicht näher beschrieben. Somit erfülle er die Flüchtlingseigenschaft nicht und sein Asylgesuch sei abzuweisen. In der Beschwerde wird unter Ausführungen zur politischen Lage in der Türkei beanstandet, das BFM schätze die Angaben des Beschwerdeführers falsch ein. Sein Asylgesuch genüge den Anforderungen von Art. 3 und 7 AsylG. Er habe keine oberflächlichen oder unglaubhaften Angaben gemacht. Seine Ausführungen zum Druck seitens des Kommandanten des Postens könnten diesen Umstand belegen. Die während der Schulzeit erlebten Repressalien und Schikanen wegen der Ethnie und die damaligen Aktionen und Drohungen durch den Kommandanten des Postens hätten ihn zum Abbruch des Schulbesuchs und Ausweichen nach C._______ veranlasst. Vor diesem Hintergrund bestehe ein Kausalzusammenhang zwischen den geschilderten Ereignissen im Dorf (Schule, Polizei) und seiner Flucht. Die türkischen Behörden hätten gezielt Kinder für ihre Spitzeldienste ausgewählt, weil diese schneller und leichter anzuwerben seien. Auch würden junge Spitzel nicht so schnell verdächtigt. Die wiederholten Rückreisen ins Dorf der Eltern seien damit zu erklären, dass seine Familie im Dorf geblieben und er noch ein Kind gewesen sei. Dabei sei er jedes Mal vom Kommandanten unter Druck gesetzt worden. Infolgedessen habe er sich gezwungen gesehen, ins Ausland zu fliehen. Er habe begründete Furcht vor Festnahme und Misshandlung. Er erfülle mithin die Flüchtlingseigenschaft, und es sei ihm Asyl zu gewähren.</w:t>
      </w:r>
    </w:p>
    <w:p>
      <w:r>
        <w:rPr>
          <w:b/>
        </w:rPr>
        <w:t>E. 3</w:t>
      </w:r>
    </w:p>
    <w:p>
      <w:r>
        <w:t>Vorab ist festzustellen, dass das BFM auf der Basis eines rechtsgenügend festgestellten Sachverhalts entschieden hat, der keiner ergänzenden Anhörungen oder Abklärungen bedarf. Die zentralen Asylangaben des Beschwerdeführers fielen in den Anhörungen durchwegs vage, oberflächlich, wenig detailliert und wenig differenziert aus. Die Schilderungen zentraler Vorgänge wiesen keine überzeugenden Realkennzeichen auf und seine Antworten auf gezielte Nachfragen blieben wiederum ohne die nötige Substanz. Sein eigenes Verhalten bei einschneidenden Vorkommnissen wie den Konfrontationen mit dem Lehrer, der Schulleitung oder den Gendarmen erscheint unverbindlich und konturenarm. Der Beschwerdeführer wusste offensichtlich hinsichtlich keines einzigen konkreten Vorfalles etwas Fundiertes - zum Vorfall selber, zum zeitlichen Ablauf, zu den Ursachen und Folgen, zu seinem eigenen Verhalten - zu berichten. Dies gilt auch für seine angebliche Teilnahme an einer Demonstration in C._______ im Jahr 2012. Bei dieser Sachlage sind die Angaben des Beschwerdeführers zu den Fluchtgründen als unglaubhaft zu bezeichnen, wobei die geltend gemachten Nachteile in der Schule als nicht ausreiseentscheidend erscheinen. Die Ausführungen in seiner Rechtsmitteleingabe beschränkten sich im Wesentlichen darauf, die Richtigkeit des geltend gemachten Sachverhalts zu behaupten, ohne indessen die zutreffenden Ausführungen der Vorinstanz in der angefochtenen Verfügung im Kern zu entkräften. Der Beschwerdeführer hat seinen Angaben zufolge seit 2011 mehrheitlich bei (...) in C._______ gelebt. Er stammt aus einer kinderreichen Familie und hat auf dem ganzen Gebiet der Türkei Verwandte. Mithin kann er sich allfällig lokalen Problemen in seiner Heimatregion bei Bedarf durch eine Wohnsitzverlegung problemlos entziehen. Zusammenfassend ist objektiv nicht nachvollziehbar, weshalb der Beschwerdeführer eine begründete Furcht vor künftiger Verfolgung in der Türkei haben soll. Das BFM hat das Asylgesuch demnach zu Recht abgelehnt. 4.1 Lehnt das Bundesamt das Asylgesuch ab oder tritt es darauf nicht ein, so verfügt es in der Regel die Wegweisung aus der Schweiz und ordnet den Vollzug an; es berücksichtigt dabei den Grundsatz der Einheit der Familie (Art. 44 Abs. 1 AsylG). 4.2 Der Beschwerdeführer verfügt weder über eine ausländerrechtliche Aufenthaltsbewilligung noch über einen Anspruch auf Erteilung einer solchen (vgl. BVGE 2011/24 E. 10.1 m.w.H.). Die Wegweisung wurde demnach zu Recht angeordnet.</w:t>
      </w:r>
    </w:p>
    <w:p>
      <w:r>
        <w:rPr>
          <w:b/>
        </w:rPr>
        <w:t>E. 5.1</w:t>
      </w:r>
    </w:p>
    <w:p>
      <w:r>
        <w:t>Ist der Vollzug der Wegweisung nicht durchführbar, das heisst unzulässig, unzumutbar oder unmöglich, regelt das Bundesamt das Anwesenheitsverhältnis nach den gesetzlichen Bestimmungen über die vorläufige Aufnahme von Ausländern (Art. 44 Abs. 2 AsylG; Art. 83 Abs. 1 AuG). Bezüglich der Geltendmachung von Wegweisungshindernissen gilt der gleiche Beweisstandard wie bei der Flüchtlingseigenschaft, das heisst, sie sind zu beweisen, wenn der strikte Beweis möglich ist, und andernfalls wenigstens glaubhaft zu machen (vgl. BVGE 2011/24 E. 10.2 m.w.H.).</w:t>
      </w:r>
    </w:p>
    <w:p>
      <w:r>
        <w:rPr>
          <w:b/>
        </w:rPr>
        <w:t>E. 5.2</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vorliegend keine Anwendung finden; seine Rückkehr in die Türkei ist unter diesem Aspekt rechtmässig. Sodann ergeben sich weder aus seinen Aussagen noch aus den Akten Anhaltspunkte dafür, dass er für den Fall einer Rückkehr in der Türkei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bei einer Rückschiebung Folter oder unmenschliche Behandlung drohen würde (vgl. EGMR [Grosse Kammer], Saadi gegen Italien, Urteil vom 28. Februar 2008, Beschwerde Nr. 37201/06, §§ 124 ff., m.w.H.). Nach dem Gesagten ist der Vollzug der Wegweisung im Sinne der asyl- und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Es besteht kein Grund anzunehmen, der Beschwerdeführer gerate bei einer Rückkehr in sein Heimatland in eine existenzbedrohende Lage, da dort weder eine allgemeine und landesweite Gewaltsituation besteht, noch die allgemeine Menschenrechtssituation den Wegweisungsvollzug als unzumutbar erscheinen lässt. Einer Rückkehr des (...) Beschwerdeführers stehen keine individuellen Gründe politischer, wirtschaftlicher, sozialer oder gesundheitlicher Natur entgegen. Er wohnte seit 2011 bis zur Ausreise bei (...) in C._______ und ging dort einer Erwerbstätigkeit nach. Er verfügt über ein grösseres Familien- und Beziehungsnetz in der ganzen Türkei (Vorakten A3 S. 5) und kann daher zu Verwandten zurückkehren, so dass für ihn in verschiedenen Regionen der Türkei die Gelegenheit zur Wohnsitznahme besteht. Zudem hat er schon früher auf die Unterstützung dieser Verwandtschaft zählen können, weshalb nicht anzunehmen ist, dass dies künftig anders sein wird. Seine Erfahrungen als (...) oder als Arbeiter im (...) werden ihm den Einstieg ins Erwerbsleben erleichtern. Er machte zwar in der Anhörung diffuse (...gesundheitliche Probleme...) (A11 S. 12) geltend. Einerseits sind diese gesundheitlichen Einschränkungen ärztlich nicht belegt. Anderseits sind sie offenbar nicht von einer Art, dass er sich deswegen in der Schweiz in ärztlich Pflege hätte begeben müssen oder er nicht hätte arbeiten können. Die von ihm geltend gemachten gesundheitlichen Einschränkungen stehen einem Wegweisungsvollzug somit nicht entgegen. Bei allfälligem Bedarf nach medizinischer Behandlung würden in der Türkei entsprechende Einrichtungen mit Fachpersonal zur Verfügung stehen. Angesichts seines Alters, seines offenbar genügend intakten Gesundheitszustandes und seiner bisherigen beruflichen Erfahrungen in der Türkei ist davon auszugehen, dass sich der Beschwerdeführer in seiner Heimat wieder in den Arbeitsmarkt integrieren kann. Ausserdem könnte er sich, falls er lokalen Gegebenheiten ausweichen möchte, an einem anderen Ort in der Türkei niederlassen. Soziale oder wirtschaftliche Schwierigkeiten, von denen die ansässige Bevölkerung im Allgemeinen betroffen ist, stellen im Übrigen keine Gefährdung i.S. von Art. 83 Abs. 4 AuG dar. Damit erweist sich der Vollzug der Wegweisung als zumutbar.</w:t>
      </w:r>
    </w:p>
    <w:p>
      <w:r>
        <w:rPr>
          <w:b/>
        </w:rPr>
        <w:t>E. 5.4</w:t>
      </w:r>
    </w:p>
    <w:p>
      <w:r>
        <w:t>Schliesslich obliegt es dem Beschwerdeführer, sich bei der zuständigen Vertretung des Heimatstaates die für eine Rückkehr notwendigen Reisedokumente zu beschaffen (vgl. Art. 8 Abs. 4 AsylG; BVGE 2008/34 E. 12), weshalb der Vollzug der Wegweisung als möglich zu bezeichnen ist (Art. 83 Abs. 2 AuG).</w:t>
      </w:r>
    </w:p>
    <w:p>
      <w:r>
        <w:rPr>
          <w:b/>
        </w:rPr>
        <w:t>E. 5.5</w:t>
      </w:r>
    </w:p>
    <w:p>
      <w:r>
        <w:t>Zusammenfassend hat die Vorinstanz den Vollzug der Wegweisung des Beschwerdeführers zu Recht als durchführbar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von Fr. 600.- dem Beschwerdeführer aufzuerlegen (Art. 1-3 des Reglements vom 21. Februar 2008 über die Kosten und Entschädigungen vor dem Bundesverwaltungsgericht [VGKE, SR 173.320.2] und Art. 63 Abs. 1 VwVG). Der am 22. Oktober 2013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