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E-5455/2022 vom 1. Dezember 2022</w:t>
      </w:r>
    </w:p>
    <w:p>
      <w:r>
        <w:t>Bundesverwaltungsgericht, 2022-12-01, FR</w:t>
      </w:r>
    </w:p>
    <w:p>
      <w:r>
        <w:rPr>
          <w:b/>
        </w:rPr>
        <w:t xml:space="preserve">Quelle: </w:t>
      </w:r>
      <w:r>
        <w:t>https://mcp.opencaselaw.ch/entscheid/bvger_E-5455_2022</w:t>
      </w:r>
    </w:p>
    <w:p>
      <w:r>
        <w:t>FR: TAF E-5455/2022 du 1 décembre 2022</w:t>
      </w:r>
    </w:p>
    <w:p>
      <w:r>
        <w:t>IT: TAF E-5455/2022 del 1 dicembre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Tribunal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qui apparaît complet, est recevable.</w:t>
      </w:r>
    </w:p>
    <w:p>
      <w:r>
        <w:rPr>
          <w:b/>
        </w:rPr>
        <w:t>E. 2</w:t>
      </w:r>
    </w:p>
    <w:p>
      <w:r>
        <w:t>Saisi d'un recours contre une décision de non-entrée en matière sur une demande d'asile, le Tribunal se limite à en examiner le bien-fondé (cf. ATAF 2014/39 consid. 2).</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du règlement Dublin III (cf. ATAF 2019 VI/7 consid. 4-6 ; 2017 VI/5 consid. 6.2 et 8.2.1). L'Etat membre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4.1</w:t>
      </w:r>
    </w:p>
    <w:p>
      <w:r>
        <w:t>En l'occurrence, comme exposé précédemment, les investigations entreprises par le SEM ont révélé, après consultation de la base de données « Eurodac », que le recourant a déposé une demande d'asile en Croatie le 28 juillet 2022.</w:t>
      </w:r>
    </w:p>
    <w:p>
      <w:r>
        <w:rPr>
          <w:b/>
        </w:rPr>
        <w:t>E. 4.2</w:t>
      </w:r>
    </w:p>
    <w:p>
      <w:r>
        <w:t>Le 19 août 2022, le SEM a dès lors soumis aux autorités croates, dans le délai fixé à l'art. 23 par. 2 du règlement Dublin III, une requête aux fins de reprise en charge, fondée sur l'art. 18 par. 1 let. b du règlement Dublin III.</w:t>
      </w:r>
    </w:p>
    <w:p>
      <w:r>
        <w:rPr>
          <w:b/>
        </w:rPr>
        <w:t>E. 4.3</w:t>
      </w:r>
    </w:p>
    <w:p>
      <w:r>
        <w:t>Le 2 septembre 2022, lesdites autorités ont expressément accepté de reprendre en charge le recourant sur la base de l'art. 20 par. 5 du règlement Dublin III, reconnaissant ainsi leur compétence pour traiter la demande d'asile de l'intéressé. Ce point n'est pas contesté dans le recours.</w:t>
      </w:r>
    </w:p>
    <w:p>
      <w:r>
        <w:rPr>
          <w:b/>
        </w:rPr>
        <w:t>E. 5.1</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 RS 0.142.30), ainsi que l'interdiction des mauvais traitements ancrée aux art. 3 CEDH et 3 de la Convention du 10 décembre 1984 contre la torture et autres peines ou traitements cruels, inhumains ou dégradants (CCT ;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 en ce sens, cf. arrêts du Tribunal F-3061/2021 du 9 juillet 2021 consid. 5.2 ;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Aux yeux du Tribunal, 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 du Tribunal E-4622/2022 du 14 octobre 2022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 saurait être renversée.</w:t>
      </w:r>
    </w:p>
    <w:p>
      <w:r>
        <w:rPr>
          <w:b/>
        </w:rPr>
        <w:t>E. 5.5</w:t>
      </w:r>
    </w:p>
    <w:p>
      <w:r>
        <w:t>Par conséquent, l'application de l'art. 3 par. 2 du règlement Dublin III ne se justifie pas en l'espèce.</w:t>
      </w:r>
    </w:p>
    <w:p>
      <w:r>
        <w:rPr>
          <w:b/>
        </w:rPr>
        <w:t>E. 6.1</w:t>
      </w:r>
    </w:p>
    <w:p>
      <w:r>
        <w:t>Pour s'opposer à son transfert vers la Croatie, l'intéressé a indiqué qu'avant qu'il ne puisse franchir la frontière serbo-croate, la police croate l'avait violemment refoulé à cinq reprises, n'hésitant pas à le poursuivre avec un couteau pour l'effrayer. A son arrivée sur le sol croate, il aurait été placé dans un conteneur. La nuit, on serait venu le chercher pour lui prendre ses empreintes, sans qu'il en connaisse la raison, d'où sa surprise d'apprendre après coup qu'il avait demandé l'asile. Il aurait ensuite été enfermé dans un conteneur avec des personnes qui avaient déjà donné leurs empreintes et dans lequel il pouvait à peine respirer. Il a également dit avoir été maltraité par les autorités croates. Elles l'auraient battu, insulté et nourri d'un seul morceau de pain par jour. De plus, il s'est plaint du racisme manifesté à son égard et aurait eu peur de mourir loin de sa famille. Il a également souligné l'absence d'accès aux soins médicaux et de soutien adéquat en cas de problème. Pour ces raisons et du fait d'être atteint dans sa santé physique et psychique, il a déclaré ne pas vouloir être transféré vers la Croatie. Il invoque ainsi une violation du règlement Dublin III.</w:t>
      </w:r>
    </w:p>
    <w:p>
      <w:r>
        <w:rPr>
          <w:b/>
        </w:rPr>
        <w:t>E. 6.2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6.3</w:t>
      </w:r>
    </w:p>
    <w:p>
      <w:r>
        <w:t>Selon la jurisprudence de la Cour européenne des droits de l'homme (ci-après : CourEDH ; cf. Paposhvili c. Belgique, arrêt de la Grande Chambre du 13 décembre 2016 [req. no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6.4</w:t>
      </w:r>
    </w:p>
    <w:p>
      <w:r>
        <w:t>En l'espèce, le recourant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évoqués dans le recours, concernant la situation générale en Croatie en lien avec la procédure d'asile (cf. supra, consid. 5.4) ne sauraient infléchir ce raisonnement. En outre, le recourant n'a fourni aucun élément susceptible de démontrer que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6.5</w:t>
      </w:r>
    </w:p>
    <w:p>
      <w:r>
        <w:t>L'intéressé n'a pas non plus apporté d'indices suffisants qu'il serait privé durablement, en Croatie, des conditions matérielles prévues par la directive Accueil et qu'il ne pourrait au besoin y faire valoir ses droits. Il n'a en particulier pas démontré que ses conditions d'existence dans ce pays revêtiraient un tel degré de pénibilité et de gravité qu'elles seraient constitutives d'un traitement contraire à l'art. 3 CEDH ou encore à l'art. 3 CCT. Les mauvais traitements que l'intéressé aurait subis en Croatie ne sont pas étayés. Si le recourant devait toutefois,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TribunalF-1543/2018 du 19 mars 2018 consid. 6.2 ainsi que art. 26 Directive Accueil).</w:t>
      </w:r>
    </w:p>
    <w:p>
      <w:r>
        <w:rPr>
          <w:b/>
        </w:rPr>
        <w:t>E. 6.6.1</w:t>
      </w:r>
    </w:p>
    <w:p>
      <w:r>
        <w:t>Compte tenu de la jurisprudence restrictive en la matière, il y a lieu de considérer que les problèmes de santé évoqués par le recourant (principalement un côlon irritable et un trouble de stress post-traumatique [PTSD] soigné par un traitement à base d'Atarax), que le Tribunal ne minimise pas, ne sont pas d'une gravité telle qu'il se justifierait de renoncer à son transfert vers la Croatie (cf., à ce sujet, arrêt de la CourEDH Paposhvili précité). En effet, force est de constater que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D-1418/2022 du 4 avril 2022 consid. 5.3.6 et D-1241/2022 du 25 mars 2022 p. 7).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6.6.2</w:t>
      </w:r>
    </w:p>
    <w:p>
      <w:r>
        <w:t>Dès lors, il y a lieu de retenir que l'état de santé du recourant ne fait pas obstacle à l'exécution de son transfert vers la Croatie.</w:t>
      </w:r>
    </w:p>
    <w:p>
      <w:r>
        <w:rPr>
          <w:b/>
        </w:rPr>
        <w:t>E. 6.6.3</w:t>
      </w:r>
    </w:p>
    <w:p>
      <w:r>
        <w:t>Cela dit, le cas échéant, il incombera aux autorités suisses chargées de l'exécution du transfert de transmettre à leurs homologues croates, en temps utile, les renseignements permettant une prise en charge médicale adéquate du recourant (cf. art. 31 et 32 du règlement Dublin III), celui-ci ayant donné son accord écrit à la transmission d'informations médicales.</w:t>
      </w:r>
    </w:p>
    <w:p>
      <w:r>
        <w:rPr>
          <w:b/>
        </w:rPr>
        <w:t>E. 6.7</w:t>
      </w:r>
    </w:p>
    <w:p>
      <w:r>
        <w:t>Par conséquent, le transfert de l'intéressé vers la Croatie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Il convient encore de rappeler que le fait que l'intéressé ne souhaitait pas déposer sa demande en Croatie ne change rien. Le règlement Dublin III ne confère en effet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et l'arrêt est sommairement motivé (art. 111a al. 1 et 2 LAsi).</w:t>
      </w:r>
    </w:p>
    <w:p>
      <w:r>
        <w:rPr>
          <w:b/>
        </w:rPr>
        <w:t>E. 9.1</w:t>
      </w:r>
    </w:p>
    <w:p>
      <w:r>
        <w:t>Dans la mesure où il est immédiatement statué sur le fond, les demandes tendant à l'octroi de l'effet suspensif ainsi qu'à la dispense du versement d'une avance de frais sont sans objet, les mesures superprovisonnelles ordonnées le 29 novembre 2022 devenant pour le reste caduques. Les conclusions du recours étant d'emblée vouées à l'échec, la requête d'assistance judiciaire totale est, elle, rejetée (cf. art. 65 al. 1 PA en lien avec l'art. 102m al. 1 let. a LAsi).</w:t>
      </w:r>
    </w:p>
    <w:p>
      <w:r>
        <w:rPr>
          <w:b/>
        </w:rPr>
        <w:t>E. 9.2</w:t>
      </w:r>
    </w:p>
    <w:p>
      <w:r>
        <w:t>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