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E-5451/2021 vom 22. Dezember 2021</w:t>
      </w:r>
    </w:p>
    <w:p>
      <w:r>
        <w:t>Bundesverwaltungsgericht, 2021-12-22, FR</w:t>
      </w:r>
    </w:p>
    <w:p>
      <w:r>
        <w:rPr>
          <w:b/>
        </w:rPr>
        <w:t xml:space="preserve">Quelle: </w:t>
      </w:r>
      <w:r>
        <w:t>https://mcp.opencaselaw.ch/entscheid/bvger_E-5451_2021</w:t>
      </w:r>
    </w:p>
    <w:p>
      <w:r>
        <w:t>FR: TAF E-5451/2021 du 22 décembre 2021</w:t>
      </w:r>
    </w:p>
    <w:p>
      <w:r>
        <w:t>IT: TAF E-5451/2021 del 22 dicembre 2021</w:t>
      </w:r>
    </w:p>
    <w:p>
      <w:pPr>
        <w:pStyle w:val="Heading2"/>
      </w:pPr>
      <w:r>
        <w:t>Regeste</w:t>
      </w:r>
    </w:p>
    <w:p>
      <w:r>
        <w:t>Asile (non-entrée en matière / absence de demande selon LAsi)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au SEM et à l'autorité cantonale. Le juge unique : Le greffier : Grégory Sauder Antoine Willa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