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E-5445/2023 vom 8. März 2024</w:t>
      </w:r>
    </w:p>
    <w:p>
      <w:r>
        <w:t>Bundesverwaltungsgericht, 2024-03-08, DE</w:t>
      </w:r>
    </w:p>
    <w:p>
      <w:r>
        <w:rPr>
          <w:b/>
        </w:rPr>
        <w:t xml:space="preserve">Quelle: </w:t>
      </w:r>
      <w:r>
        <w:t>https://mcp.opencaselaw.ch/entscheid/bvger_E-5445_2023</w:t>
      </w:r>
    </w:p>
    <w:p>
      <w:r>
        <w:t>FR: TAF E-5445/2023 du 8 mars 2024</w:t>
      </w:r>
    </w:p>
    <w:p>
      <w:r>
        <w:t>IT: TAF E-5445/2023 del 8 marzo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diese verpflichtet ist, in Verfügungsform zu handeln und der ansprechenden Person nach Art. 6 i.V.m. Art. 48 Abs. 1 VwVG Parteistellung zukommt (vgl. BVGE 2008/15 E. 3.2 m.w.H.). Die Beschwerdeführerin hat in der Schweiz am 8. Oktober 2021 ein Asylgesuch eingereicht, über welches die Vorinstanz in Form einer anfechtbaren Verfügung zu befinden hat. Sie ist zur Beschwerdeführung legitimiert.</w:t>
      </w:r>
    </w:p>
    <w:p>
      <w:r>
        <w:rPr>
          <w:b/>
        </w:rPr>
        <w:t>E. 1.3</w:t>
      </w:r>
    </w:p>
    <w:p>
      <w:r>
        <w:t>Gegen das unrechtmässige Verzögern einer Verfügung kann grundsätzlich - unter Beachtung des Grundsatzes von Treu und Glauben - jederzeit Beschwerde geführt werden (Art. 50 Abs. 2 VwVG). Die beschwerdeführende Person muss dabei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der Beschwerdeführerin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Rechtsverzögerungsbeschwerde einzutreten (Art. 52 Abs. 1 VwVG).</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Eine Verzögerung kann sich jedoch durch ausserordentliche Umstände rechtfertigen lassen, wenn die Geschäftslast in aussergewöhnlichem und nicht vorhersehbarem Mass angestiegen ist (Moser et al., a.a.O. S. 343 Rz. 5.27, m.w.H.).</w:t>
      </w:r>
    </w:p>
    <w:p>
      <w:r>
        <w:rPr>
          <w:b/>
        </w:rPr>
        <w:t>E. 4</w:t>
      </w:r>
    </w:p>
    <w:p>
      <w:r>
        <w:t>In der Rechtsmitteleingabe wird geltend gemacht, die Beschwerdeführerin habe vor bald zwei Jahren in der Schweiz ein Asylgesuch gestellt. Nach der Zuteilung ins erweiterte Verfahren seien keine weiteren Verfahrensschritte ergangen. Das SEM habe auf keine der Verfahrensstandanfragen vom 31. Oktober 2022, 27. März sowie 16. Juni 2023 reagiert, auch dann nicht, als im letzten Schreiben die Einreichung einer Rechtsverzögerungsbeschwerde angedroht worden sei. Mit der Verfahrensstandanfrage vom 16. Juni 2023 sei ein weiteres Beweismittel eingereicht worden, bei dem es sich um einen relativ kurzen ärztlichen Bericht betreffend das Kind handle, welcher auf Deutsch verfasst worden sei und somit vom SEM nicht übersetzt werden müsse. Die Würdigung dieses Beweismittels würde daher nicht allzu viel Zeit in Anspruch nehmen. Seither seien erneut über drei Monate verstrichen. Es sei nicht einzusehen, weshalb sich die Beschwerdeführerin seit beinahe zwei Jahren im Asylverfahren befinde und das SEM jegliche Verfahrensstandanfragen ignoriere. Die Verfahrensdauer sei klar unverhältnismässig.</w:t>
      </w:r>
    </w:p>
    <w:p>
      <w:r>
        <w:rPr>
          <w:b/>
        </w:rPr>
        <w:t>E. 5</w:t>
      </w:r>
    </w:p>
    <w:p>
      <w:r>
        <w:t>Das Bundesverwaltungsgericht hat zwar Kenntnis von den hohen Pendenzenzahlen der Vorinstanz und den zurzeit historischen Höchstwerten an Asylgesuchen. Es ist unvermeidbar und nachvollziehbar, dass gewisse Verfahren - insbesondere dann, wenn sich Abklärungsmassnahmen aufdrängen - länger dauern können. Vorliegend kann aber nicht von einer gerechtfertigten Verfahrensverzögerung ausgegangen werden, insbesondere, da die Vorinstanz über einen längeren Zeitraum - ohne ersichtlichen Grund - untätig geblieben ist. Das Bundesverwaltungsgericht stellt fest, dass seit dem Einreichen des Asylgesuchs bis zum Zeitpunkt der Beschwerdeerhebung wegen Rechtsverzögerung knapp zwei Jahre vergangen sind. Die Zuteilung ins erweiterte Verfahren am 10. Dezember 2021 mit der Begründung, dass das Asylgesuch namentlich in Bezug auf die eingereichten Dokumente weiterer Abklärungen bedürfe ist zwar nachvollziehbar. Jedoch wurden gemäss den Akten seit der Befragung der Beschwerdeführerin vom 9. Dezember 2021 keine verfahrensleitenden Handlungen seitens der Vorinstanz unternommen und es wurde lediglich ein Arztbericht ins Recht gelegt, welcher kaum zu einer Verzögerung des Verfahrens führen dürfte. Somit liegt nahe, dass die Vorinstanz zum Zeitpunkt der Beschwerdeerhebung knapp 22 Monate untätig geblieben ist. Der Umstand, dass alle drei Verfahrensstandanfragen im Zeitraum eines Jahres bis zur Beschwerdeerhebung unbeantwortet blieben sowie auf eine Vernehmlassung verzichtet wurde verstärkt den Eindruck, dass die Vorinstanz das Verfahren weder behandelt, noch demnächst einer anfechtbaren Verfügung zuführen wird. Für das betreffende Verfahren erscheint die Behandlungsdauer als unangemessen, weshalb das Beschleunigungsgebot von Art. 29 Abs. 1 BV verletzt ist. Die Rüge der Rechtsverzögerung erweist sich als begründet.</w:t>
      </w:r>
    </w:p>
    <w:p>
      <w:r>
        <w:rPr>
          <w:b/>
        </w:rPr>
        <w:t>E. 6</w:t>
      </w:r>
    </w:p>
    <w:p>
      <w:r>
        <w:t>Nach dem Gesagten ist die Beschwerde gutzuheissen. Die Akten gehen an die Vorinstanz zurück, verbunden mit der Anweisung, die Beschwerdeführerin umgehend über den Stand des Verfahrens zu informieren und die Behandlung ihres Asylgesuchs beförderlich zu behandeln sowie rasch einer Verfügung zuzuführen.</w:t>
      </w:r>
    </w:p>
    <w:p>
      <w:r>
        <w:rPr>
          <w:b/>
        </w:rPr>
        <w:t>E. 7.1</w:t>
      </w:r>
    </w:p>
    <w:p>
      <w:r>
        <w:t>Bei diesem Ausgang des Verfahrens sind keine Kosten zu erheben (Art. 63 Abs. 1 und 2 VwVG). Das mit der Beschwerde gestellte Gesuch um Gewährung der unentgeltlichen Prozessführung samt Rechtsverbeiständung ist damit gegenstandslos geworden.</w:t>
      </w:r>
    </w:p>
    <w:p>
      <w:r>
        <w:rPr>
          <w:b/>
        </w:rPr>
        <w:t>E. 7.2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Die mit der Rechtsmitteleingabe eingereichte Kostennote weist einen zeitlichen Aufwand von total 9 Stunden zu einem Stundenansatz von Fr. 200.- sowie Auslagen in der Höhe von total Fr. 120.- für dieses Verfahren und die Verfahren der Familienmitglieder der Beschwerdeführer (E-5445/2023; E-5441/2023), aus. Gestützt auf die in Betracht zu ziehenden Bemessungsfaktoren ist der zur Anwendung gebrachte Stundenansatz bei Fr. 200.- zu belassen (Art. 8-13 VGKE). Der geltend gemachte zeitliche Aufwand sowie die Auslagen erscheinen aber im Verhältnis zu anderen Verfahren gleichen Umfangs sowie angesichts der Parallelen zwischen den drei Verfahren der Familie als zu hoch. Der ausgewiesene Betrag von Fr. 640.- ist auf die Hälfte zu reduzieren. Das SEM ist demnach anzuweisen, der Beschwerdeführerin eine Parteientschädigung von Fr. 320.-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