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E-5436/2013 vom 17. Februar 2014</w:t>
      </w:r>
    </w:p>
    <w:p>
      <w:r>
        <w:t>Bundesverwaltungsgericht, 2014-02-17, DE</w:t>
      </w:r>
    </w:p>
    <w:p>
      <w:r>
        <w:rPr>
          <w:b/>
        </w:rPr>
        <w:t xml:space="preserve">Quelle: </w:t>
      </w:r>
      <w:r>
        <w:t>https://mcp.opencaselaw.ch/entscheid/bvger_E-5436_2013</w:t>
      </w:r>
    </w:p>
    <w:p>
      <w:r>
        <w:t>FR: TAF E-5436/2013 du 17 février 2014</w:t>
      </w:r>
    </w:p>
    <w:p>
      <w:r>
        <w:t>IT: TAF E-5436/2013 del 17 febbraio 2014</w:t>
      </w:r>
    </w:p>
    <w:p>
      <w:pPr>
        <w:pStyle w:val="Heading2"/>
      </w:pPr>
      <w:r>
        <w:t>Regeste</w:t>
      </w:r>
    </w:p>
    <w:p>
      <w:r>
        <w:t>Asyl und Wegweisung</w:t>
      </w:r>
    </w:p>
    <w:p>
      <w:pPr>
        <w:pStyle w:val="Heading2"/>
      </w:pPr>
      <w:r>
        <w:t>Erwägungen</w:t>
      </w:r>
    </w:p>
    <w:p>
      <w:r>
        <w:rPr>
          <w:b/>
        </w:rPr>
        <w:t>E. 2</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2.1</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2.2</w:t>
      </w:r>
    </w:p>
    <w:p>
      <w:r>
        <w:t>Das Verfahren richtet sich nach dem VwVG, soweit das VGG und das AsylG nichts anderes bestimmen (Art. 37 VGG und Art. 6 AsylG).</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w:t>
      </w:r>
    </w:p>
    <w:p>
      <w:r>
        <w:t>Die Kognition des Bundesverwaltungsgerichts und die zulässigen Rügen bestimmen sich nach Art. 106 Abs. 1 AsylG.</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22. August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5</w:t>
      </w:r>
    </w:p>
    <w:p>
      <w:r>
        <w:t>Die Beschwerde ist demnach gutzuheissen. Die angefochtene Verfügung ist aufzuheben und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eingereichten Kosten­note ausgewiesenen zeitlichen Vertretungsaufwand als nicht vollumfäng­lich angemessen, weshalb er zu reduzieren ist. Namentlich ist zu berück­sichtigen, dass etliche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Im Übrigen enthält der Inhalt der Eingabe teilweise redundante Ausführungen.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