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E-5435/2013 vom 2. Oktober 2013</w:t>
      </w:r>
    </w:p>
    <w:p>
      <w:r>
        <w:t>Bundesverwaltungsgericht, 2013-10-02, DE</w:t>
      </w:r>
    </w:p>
    <w:p>
      <w:r>
        <w:rPr>
          <w:b/>
        </w:rPr>
        <w:t xml:space="preserve">Quelle: </w:t>
      </w:r>
      <w:r>
        <w:t>https://mcp.opencaselaw.ch/entscheid/bvger_E-5435_2013</w:t>
      </w:r>
    </w:p>
    <w:p>
      <w:r>
        <w:t>FR: TAF E-5435/2013 du 2 octobre 2013</w:t>
      </w:r>
    </w:p>
    <w:p>
      <w:r>
        <w:t>IT: TAF E-5435/2013 del 2 ottobre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AsylG). Der Beschwerdeführer ist als Verfügungsadressat zur Beschwerdeführung legitimiert (Art. 48 VwVG).</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4.1</w:t>
      </w:r>
    </w:p>
    <w:p>
      <w:r>
        <w:t>Mit der Umsetzung des Dublin-Assoziierungsabkommen verpflichtet sich die Schweiz, die Dublin-II-VO anzuwenden. Diese enthält die Kriteri-en, um denjenigen Dublin-Staat zu bestimmen, der zuständig ist, ein Asyl- und Wegweisungsverfahren durchzuführen.</w:t>
      </w:r>
    </w:p>
    <w:p>
      <w:r>
        <w:rPr>
          <w:b/>
        </w:rPr>
        <w:t>E. 4.2</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EMRK und Art. 3 des Übereinkommens vom 10. Dezember 1984 gegen Folter und andere grausame, unmenschliche oder erniedrigende Behandlung oder Strafe (FoK, SR 0.105).</w:t>
      </w:r>
    </w:p>
    <w:p>
      <w:r>
        <w:rPr>
          <w:b/>
        </w:rPr>
        <w:t>E. 5.1</w:t>
      </w:r>
    </w:p>
    <w:p>
      <w:r>
        <w:t>Gemäss Rechtsprechung des Bundesverwaltungsgerichts kann angesichts der ihm vorliegenden Informationen zur allgemeinen Situation von Asylsuchenden in Malta die Vermutung, dieses Land beachte die den betroffenen Personen im gemeinsamen Europäischen Asylsystem zustehenden Grundrechte in angemessener Weise, nicht ohne Weiteres aufrechterhalten werden. Damit ist zwar noch nicht gesagt, dass die festgestellten Mängel für Asylsuchende generell die Gefahr einer unmenschlichen oder erniedrigenden Behandlung in Malta mit sich bringen. Im Einzelfall ist jedoch zu prüfen, ob die betroffene Person einer Kategorie zuzurechnen ist, die aufgrund ihrer spezifischen Verletzlichkeit bei einer Überstellung nach Malta Gefahr laufen, wegen der dortigen Defizite im Asylverfahren und in den Aufnahmebedingungen eine Verletzung ihrer Grundrechte zu erleiden (vgl. BVGE 2012/27 E. 7.4). Die Risiken einer Überstellung sind demnach sorgfältig und individuell zu prüfen (vgl. auch Urteil des Bundesverwaltungsgerichts E-3457/2012 vom 24. Oktober 2012 S. 7 ff.).</w:t>
      </w:r>
    </w:p>
    <w:p>
      <w:r>
        <w:rPr>
          <w:b/>
        </w:rPr>
        <w:t>E. 5.2</w:t>
      </w:r>
    </w:p>
    <w:p>
      <w:r>
        <w:t>Zusammenfassend ist festzustellen, dass einer Überstellung des Beschwerdeführers nach Malta weder völkerrechtliche Verpflichtungen der Schweiz noch humanitäre Gründe entgegenstehen, weshalb die Souveränitätsklausel (Art. 3 Abs. 2 Dublin-II-Verordnung) nicht zur Anwendung gelangt und folglich das BFM zu Recht in Anwendung von Art. 34 Abs. 2 Bst. d AsylG auf das Asylgesuch nicht eingetreten ist. Eine Auseinandersetzung mit den weiteren Vorbringen auf Beschwerdeebene erübrigt sich, weil diese nicht geeignet sind, zu einer anderen Beurteilung zu gelangen.</w:t>
      </w:r>
    </w:p>
    <w:p>
      <w:r>
        <w:rPr>
          <w:b/>
        </w:rPr>
        <w:t>E. 6.1</w:t>
      </w:r>
    </w:p>
    <w:p>
      <w:r>
        <w:t>Gemäss Art. 44 Abs. 1 AsylG verfügt das Bundesamt,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in diesem Sinne den Vollzug der Wegweisung nach Malta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Mit dem Direktentscheid in der Hauptsache werden die Verfahrensanträge (Gewährung der aufschiebenden Wirkung, Verzicht auf die Erhebung eines Kostenvorschusses) hinfällig.</w:t>
      </w:r>
    </w:p>
    <w:p>
      <w:r>
        <w:rPr>
          <w:b/>
        </w:rPr>
        <w:t>E. 8.2</w:t>
      </w:r>
    </w:p>
    <w:p>
      <w:r>
        <w:t>Da sich die Beschwerde als aussichtslos erweist, ist der Antrag auf Erlass der Verfahrenskosten (Art. 65 Abs. 1 VwVG) abzuweisen. Die Kosten des Verfahrens in der Höhe von Fr. 600.- (Art. 1-3 des Reglements vom 21. Februar 2008 über die Kosten und Entschädigungen vor dem Bundesverwaltungsgericht [VGKE], SR 173.320.2) sind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