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E-5434/2017 vom 16. November 2017</w:t>
      </w:r>
    </w:p>
    <w:p>
      <w:r>
        <w:t>Bundesverwaltungsgericht, 2017-11-16, DE</w:t>
      </w:r>
    </w:p>
    <w:p>
      <w:r>
        <w:rPr>
          <w:b/>
        </w:rPr>
        <w:t xml:space="preserve">Quelle: </w:t>
      </w:r>
      <w:r>
        <w:t>https://mcp.opencaselaw.ch/entscheid/bvger_E-5434_2017</w:t>
      </w:r>
    </w:p>
    <w:p>
      <w:r>
        <w:t>FR: TAF E-5434/2017 du 16 novembre 2017</w:t>
      </w:r>
    </w:p>
    <w:p>
      <w:r>
        <w:t>IT: TAF E-5434/2017 del 16 novembre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Vorab ist festzustellen, dass der Beschwerde von Gesetzes wegen aufschiebende Wirkung zukommt und die Vorinstanz diese vorliegend nicht entzogen hat. Der entsprechende Antrag auf Feststellung der aufschiebenden Wirkung ist daher gegenstandslos.</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gelangt in der angefochtenen Verfügung zum Schluss, die Vorbringen des Beschwerdeführers hielten weder den Anforderungen an das Glaubhaftmachen gemäss Art. 7 AsylG noch denjenigen an die Flüchtlingseigenschaft nach Art. 3 AsylG stand.</w:t>
      </w:r>
    </w:p>
    <w:p>
      <w:r>
        <w:rPr>
          <w:b/>
        </w:rPr>
        <w:t>E. 6.2</w:t>
      </w:r>
    </w:p>
    <w:p>
      <w:r>
        <w:t>Es sei schwer nachvollziehbar, dass das CID derart viel Aufwand betrieben haben solle, um den Beschwerdeführer regelmässig zu kontrollieren und zu befragen, zumal die LTTE-Tätigkeiten seines Onkels den Behörden seit Ende des Bürgerkrieges und seiner Rehabilitationshaft im Jahr 2011 bekannt gewesen seien. Es sei durchaus möglich, dass sein Onkel Mitglied der LTTE gewesen sei und nach dem Ende des Bürgerkrieges die Rehabilitation durchlaufen habe. Allerdings wirke der Versuch des Beschwerdeführers konstruiert, daraus ein behördliches Interesse an seiner Person abzuleiten. Er selber habe nicht klar begründen können, auf welchen Annahmen der Verdacht der Behörden beruhen solle. Obschon es während eines Jahres monatlich zu Befragungen gekommen sei, könne er kaum Angaben bezüglich des Inhalts der Befragungen machen. Es sei zudem nicht nachvollziehbar, dass die sri-lankischen Behörden ihn derart häufig zu seinem Onkel befragt haben sollten, zumal dieser in I._______ leben solle und er keinen Kontakt mit ihm pflege. Ausserdem habe er nicht hinlänglich erklären können, warum die LTTE anstatt seines Vaters einen (...)jährigen Jungen hätten zwangsrekrutieren sollen. Auch sei nicht nachvollziehbar, dass das CID nach einem Jahr regelmässiger Befragungen plötzlich herausgefunden habe, dass er 2009 aufgrund einer Zwangsrekrutierung bei den LTTE gewesen sei. Es sei erstaunlich, dass die Geheimdienstleute anlässlich des Vorfalls mit dem heruntergerissenen Poster seine Identitätskarte kontrolliert, allerdings nichts unternommen hätten, obschon er zur Verhaftung ausgeschrieben gewesen sei. Stattdessen sei ihm mitgeteilt worden, wo Erkundigungen über ihn eingezogen würden. Wenn tatsächlich ein so grosses behördliches Interesse an seiner Person bestanden hätte, wäre dieses Vorgehen der Behörden sehr erstaunlich. Es sei nicht nachvollziehbar, weshalb er nach diesem Vorfall ausgerechnet wieder nach B._______ zurückgekehrt sei, obschon er ursprünglich von dort nach F._______ geflüchtet sei. Nicht zu überzeugen vermöge sodann seine Erklärung, weshalb er nicht im Besitz eines Reisepasses sei. Gemäss eigenen Angaben habe er sich im Jahr (...) oder (...) einen Pass ausstellen lassen, mit welchem er nach L._______ und M._______ gereist sei. Er habe diesen Reisepass nach seiner Ausreise dem Schlepper gegeben. Demzufolge sei er legal ausgereist. Es sei schwer nachvollziehbar, dass er für die Ausreise im Jahr 2015 die Flughafenbehörde habe bestechen müssen, nachdem er im Jahr (...) oder (...) mit diesem Pass legal nach L._______ gereist sei. Schliesslich seien seine Aussagen zu den einzelnen Besuchen des CID und die Reaktion der Eltern darauf, sehr knapp, schematisch und ohne Realkennzeichen ausgefallen. Die eingereichten Beweismittel seien nicht geeignet, die von ihm geltend gemachte Verfolgungssituation zu stützen.</w:t>
      </w:r>
    </w:p>
    <w:p>
      <w:r>
        <w:rPr>
          <w:b/>
        </w:rPr>
        <w:t>E. 6.3</w:t>
      </w:r>
    </w:p>
    <w:p>
      <w:r>
        <w:t>Zu Art. 3 AsylG führt die Vorinstanz aus, der Beschwerdeführer habe keine Verfolgung glaubhaft machen können. Vielmehr sei er bis Oktober 2015 in Sri Lanka wohnhaft gewesen, habe mithin noch sechs Jahre im Heimatstaat gelebt. Allfällige, im Zeitpunkt der Ausreise bestehende Risikofaktoren hätten folglich kein Verfolgungsinteresse seitens der sri-lankischen Behörden ausgelöst. Es sei nicht ersichtlich, weshalb er bei einer Rückkehr nach Sri Lanka nunmehr in den Fokus der Behörden geraten und in asylrelevanter Weise verfolgt werden sollte.</w:t>
      </w:r>
    </w:p>
    <w:p>
      <w:r>
        <w:rPr>
          <w:b/>
        </w:rPr>
        <w:t>E. 7.1</w:t>
      </w:r>
    </w:p>
    <w:p>
      <w:r>
        <w:t>In der Rechtsmitteleingabe macht der Beschwerdeführer geltend, es sei erstens in Betracht zu ziehen, dass sein Onkel für die LTTE gekämpft habe und nun als Flüchtling in I._______ lebe. Dies werde von der Vorinstanz nicht in Frage gestellt. Zweitens sei hervorzuheben, dass sein Onkel und er ein gutes Verhältnis gehabt hätten, was auch nach aussen sichtbar gewesen sei. Drittens sei der Beschwerdeführer während des Krieges selber von den LTTE zwangsrekrutiert worden. Viertens seien weitere entfernte Verwandte im Krieg für die LTTE gestorben und gälten als Märtyrer. Unter Berücksichtigung der Ländersituation in Sri Lanka präsentierten all diese Faktoren ein grosses Risiko für ihn. Seine Vorbringen seien vor diesem Hintergrund äusserst plausibel. Sinngemäss rügt der Beschwerdeführer, die Vorinstanz habe den Massstab des Glaubhaftmachens nicht richtig angewendet und verletze damit Bundesrecht.</w:t>
      </w:r>
    </w:p>
    <w:p>
      <w:r>
        <w:rPr>
          <w:b/>
        </w:rPr>
        <w:t>E. 7.2</w:t>
      </w:r>
    </w:p>
    <w:p>
      <w:r>
        <w:t>Die vorinstanzliche Würdigung der Vorbringen ist nicht zu beanstanden. In der angefochtenen Verfügung wird einlässlich begründet, weshalb die Aussagen des Beschwerdeführers jeglicher Logik des Handelns widersprechen würden, nicht nachvollziehbar, schematisch und knapp seien sowie keine Realkennzeichen aufweisen würden. Alleine aus der Tatsache, dass er sehr ausführliche Schilderungen gemacht hat, kann er nichts zu seinen Gunsten ableiten. Der Befrager hat ihn unterbrochen, weil er ausführliche Schilderungen über Ereignisse machte, die bereits Jahre zurückliegen und somit nicht kausal für seine Ausreise waren (vgl. SEM-Akten A20/30 F64-F66). Mit dem ausführlichen Wiederholen des aktenkundigen Sachverhalts sowie einzelner Aussagepassagen, dem Hinweis auf die spezifische Ländersituation und dem Festhalten, er habe stringent, nicht oberflächlich und realistisch ausgesagt, legt der Beschwerdeführer nicht dar, inwiefern die Vorinstanz zu Unrecht auf Unglaubhaftigkeit geschlossen hat. Um Wiederholungen zu vermeiden, kann auf die zutreffenden Erwägungen in der angefochtenen Verfügung verwiesen werden. Die eingereichten Beweismittel sind sodann nicht geeignet, zu einem anderen Schluss zu gelangen. Namentlich vermag er aus der Kopie des Aufenthaltsstatus des Onkels in I._______ sowie dem Hinweise auf weitere Verwandte, die sich im Ausland aufhalten und teilweise als Flüchtlinge anerkannt wurden, sowie solche, die als Märtyrer gestorben sind, nichts zu seinen Gunsten abzuleiten.</w:t>
      </w:r>
    </w:p>
    <w:p>
      <w:r>
        <w:rPr>
          <w:b/>
        </w:rPr>
        <w:t>E. 8.1</w:t>
      </w:r>
    </w:p>
    <w:p>
      <w:r>
        <w:t>Betreffend die vom Beschwerdeführer geltend gemachte Verbindung zu den LTTE ist auf die aktuelle Rechtsprechung des Bundesverwaltungsgerichts zur Situation von nach Sri Lanka zurückkehrenden Personen zu verweisen.</w:t>
      </w:r>
    </w:p>
    <w:p>
      <w:r>
        <w:rPr>
          <w:b/>
        </w:rPr>
        <w:t>E. 8.2</w:t>
      </w:r>
    </w:p>
    <w:p>
      <w:r>
        <w:t>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8.3</w:t>
      </w:r>
    </w:p>
    <w:p>
      <w:r>
        <w:t>Der Beschwerdeführer konnte kein Engagement für die LTTE dartun. Soweit er sich auf seine Tätigkeiten für seinen Onkel bezieht, sind seine Vorbringen nicht glaubhaft. Weiter hat er keine exilpolitischen Tätigkeiten erwähnt, womit auch dieser Risikofaktor wegfällt. Es kann auch nicht davon ausgegangen werden, dass er in der "Stop"- oder "Watch-List" verzeichnet ist. Insgesamt ist daher in Bezug auf den Beschwerdeführer nicht anzunehmen, dass ihm die sri-lankischen Behörden Bemühungen vorwerfen, den tamilischen Separatismus wieder aufleben zu lassen. Die Tatsache, dass der tamilische Beschwerdeführer nach einem längeren Aufenthalt und einem durchlaufenen Asylverfahren in der Schweiz nach Sri Lanka zurückkehrt, genügt für sich alleine nicht, eine Furcht vor Verfolgung zu begründen.</w:t>
      </w:r>
    </w:p>
    <w:p>
      <w:r>
        <w:rPr>
          <w:b/>
        </w:rPr>
        <w:t>E. 8.4</w:t>
      </w:r>
    </w:p>
    <w:p>
      <w:r>
        <w:t>Zusammenfassend ist festzuhalten, dass die Vorinstanz die Flüchtlingseigenschaft des Beschwerdeführers zu Recht verneint und sein Asylgesuch abgelehnt hat.</w:t>
      </w:r>
    </w:p>
    <w:p>
      <w:r>
        <w:rPr>
          <w:b/>
        </w:rPr>
        <w:t>E. 9</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(vgl. angeführtes Referenzurteil E-1866/2015 E. 12 ff.; BVGE 2011/24 E. 10.4). Auch der Europäische Gerichtshof für Menschenrechte (EGMR) hat wiederholt festgehalten, dass nicht generell davon auszugehen sei, dass zurückkehrenden Tamilen in Sri Lanka eine unmenschliche Behandlung drohe.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10.3</w:t>
      </w:r>
    </w:p>
    <w:p>
      <w:r>
        <w:t>Gemäss Art. 83 Abs. 4 AuG kann der Vollzug für Ausländerinnen und Ausländer unzumutbar sein, wenn sie im Heimat- oder Herkunftsstaat aufgrund von Situationen wie Krieg, Bürgerkrieg, allgemeiner Gewalt und medizinischer Notlage konkret gefährdet sind. Nach einer eingehenden Analyse der sicherheitspolitischen Lage in Sri Lanka ist das Bundesverwaltungsgericht im vorgenannten Referenzurteil E-1866/2015 (E. 13.2)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In seinem neusten als Referenzurteil publizierten Entscheid D-3619/2016 vom 16. Oktober 2017 erachtet das Bundesverwaltungsgericht nun auch den Wegweisungsvollzug ins "Vanni-Gebiet" als zumutbar (Urteil E. 9.5). Wie bereits die Vorinstanz in der angefochtenen Verfügung ausgeführt hat, verfügt der Beschwerdeführer über ein bestehendes familiäres Beziehungsnetz, auf welches er bei einer Rückkehr nach Sri Lanka zurückgreifen kann. Sein Vater ist (...) und die Familie bewirtschaftet (...) und (...). Insoweit ist davon auszugehen, dass der Beschwerdeführer bei einer Rückkehr finanziell abgesichert ist und nicht in eine existentielle Notlage geraten wird. Sodann verfügt er über eine gute Schulbildung und es ist ihm zuzumuten, sich weiter auszubilden oder sich um eine Arbeitsstelle zu bemühen. Der Vollzug erweist sich deshalb auch in individueller Hinsicht als zumutbar.</w:t>
      </w:r>
    </w:p>
    <w:p>
      <w:r>
        <w:rPr>
          <w:b/>
        </w:rPr>
        <w:t>E. 10.4</w:t>
      </w:r>
    </w:p>
    <w:p>
      <w:r>
        <w:t>Schliesslich verfügt der Beschwerdeführer über eine gültige Identitätskarte, womit es ihm möglich sein sollte, sich bei der zuständigen Vertretung des Heimatstaates die für eine Rückkehr notwendigen Reisedokumente zu beschaffen (vgl. Art. 8 Abs. 4 AsylG und dazu auch BVGE 2008/34 E. 12). Der Vollzug der Wegweisung ist als möglich zu bezeichnen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Der Beschwerdeführer beantragt die unentgeltliche Prozessführung sowie die amtliche Verbeiständung. Aufgrund der vorstehenden Erwägungen ergibt sich, dass seine Begehren als aussichtslos zu gelten haben. Damit ist eine der kumulativ zu erfüllenden Voraussetzungen nicht gegeben, weshalb die Gesuche abgewiesen werden. Im Übrigen ist darauf hinzuweisen, dass MLaw Hanna Stoll die Voraussetzungen zur Einsetzung als amtliche Rechtsbeiständin nicht erfüllt. Da das Verfahren zum Zeitpunkt des Gesuchs von MLaw Cora Dubach vom 8. November 2017 spruchreif war, bestand für das Gericht keinen Anlass, diese als amtliche Rechtsbeiständin einzusetzen.</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