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E-5433/2013 vom 24. Februar 2014</w:t>
      </w:r>
    </w:p>
    <w:p>
      <w:r>
        <w:t>Bundesverwaltungsgericht, 2014-02-24, FR</w:t>
      </w:r>
    </w:p>
    <w:p>
      <w:r>
        <w:rPr>
          <w:b/>
        </w:rPr>
        <w:t xml:space="preserve">Quelle: </w:t>
      </w:r>
      <w:r>
        <w:t>https://mcp.opencaselaw.ch/entscheid/bvger_E-5433_2013</w:t>
      </w:r>
    </w:p>
    <w:p>
      <w:r>
        <w:t>FR: TAF E-5433/2013 du 24 février 2014</w:t>
      </w:r>
    </w:p>
    <w:p>
      <w:r>
        <w:t>IT: TAF E-5433/2013 del 24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délais prescrits par la loi, le recours est recevable (art. 48 et 52 PA et art. 108 al. 1 LAsi).</w:t>
      </w:r>
    </w:p>
    <w:p>
      <w:r>
        <w:rPr>
          <w:b/>
        </w:rPr>
        <w:t>E. 2.1</w:t>
      </w:r>
    </w:p>
    <w:p>
      <w:r>
        <w:t>A teneur de l'art. 106 al.1 LAsi, les motifs de recours qui peuvent être invoqués devant le Tribunal sont la violation du droit fédéral, notamment pour abus ou excès dans l'exercice du pouvoir d'appréciation (let. a) ou l'établissement inexact ou incomplet de l'état de fait pertinent (let. b).</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8 février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5.1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5.2</w:t>
      </w:r>
    </w:p>
    <w:p>
      <w:r>
        <w:t>Dans la mesure où il est fait droit à sa conclusion tendant à l'annulation de la décision attaquée, le recourant doit être considéré comme ayant obtenu gain de cause. En application des règles de calcul prévues dans la loi, vu les circonstances particulières et en prenant en considération les frais et le temps nécessaires à la défense de la partie, il est alloué à l'intéressé ex aquo et bono un montant de 800 francs au titre de dépens (tout frais compris) que l'autorité de première instance est invitée à verser au recourant, en application de l'art.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