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E-542/2016 vom 2. Februar 2016</w:t>
      </w:r>
    </w:p>
    <w:p>
      <w:r>
        <w:t>Bundesverwaltungsgericht, 2016-02-02, DE</w:t>
      </w:r>
    </w:p>
    <w:p>
      <w:r>
        <w:rPr>
          <w:b/>
        </w:rPr>
        <w:t xml:space="preserve">Quelle: </w:t>
      </w:r>
      <w:r>
        <w:t>https://mcp.opencaselaw.ch/entscheid/bvger_E-542_2016</w:t>
      </w:r>
    </w:p>
    <w:p>
      <w:r>
        <w:t>FR: TAF E-542/2016 du 2 février 2016</w:t>
      </w:r>
    </w:p>
    <w:p>
      <w:r>
        <w:t>IT: TAF E-542/2016 del 2 febbraio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Italien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sich bei Italien um einen sicheren Drittstaat im Sinne von Art. 6a Abs. 2 Bst. b AsylG handelt. Aus den Akten geht hervor, dass die italienischen Behörden dem Beschwerdeführer subsidiären Schutz gewährt und der Wiederaufnahme zugestimmt haben (SEM-Akten, A12 und A18).</w:t>
      </w:r>
    </w:p>
    <w:p>
      <w:r>
        <w:rPr>
          <w:b/>
        </w:rPr>
        <w:t>E. 3.3</w:t>
      </w:r>
    </w:p>
    <w:p>
      <w:r>
        <w:t>Der Beschwerdeführer bestätigt auf Beschwerdeebene erstmals, dass er in Italien im Jahr 2006 einen Schutzstatus erhalten habe. Er entschuldigt sich sodann dafür, aus Angst falsche Angaben gemacht zu haben und bittet darum, man möge auf sein Gesuch eintreten, damit er seine wahre Geschichte erzählen könne. Er stellt auf Beschwerdeebene jedoch zu Recht nicht in Abrede, dass Italien als verfolgungssicherer Drittstaat gilt und ihm dort subsidiärer Schutz gewährt wurde. Hinweise auf eine Verfolgung, die geeignet wäre, die Regelvermutung des verfolgungssicheren Drittstaates im konkreten Fall umzustossen, liegen nicht vor. Solches bringt der Beschwerdeführer auch nicht vor. Ebenfalls zu Recht macht der Beschwerdeführer nicht geltend, die Vorinstanz habe fälschlicherweise ein schutzwürdiges Interesse zur Feststellung der Flüchtlingseigenschaft verneint. Die Vorinstanz ist auf das Asylgesuch zu Recht nicht eingetreten.</w:t>
      </w:r>
    </w:p>
    <w:p>
      <w:r>
        <w:rPr>
          <w:b/>
        </w:rPr>
        <w:t>E. 4</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 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hinreichenden Anhaltspunkte, dass Italien insoweit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er für den Fall einer Ausschaffung nach Italien dort mit beachtlicher Wahrscheinlichkeit einer nach Art. 3 EMRK oder Art. 1 FoK verbotenen Strafe oder Behandlung ausgesetzt wäre. Der Vollzug der Wegweisung ist zulässig.</w:t>
      </w:r>
    </w:p>
    <w:p>
      <w:r>
        <w:rPr>
          <w:b/>
        </w:rPr>
        <w:t>E. 5.3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In Italien herrscht keine Situation von allgemeiner Gewalt. Der Beschwerdeführer kann gegenüber den italienischen Behörden seinen Anspruch auf Unterstützung, Unterkunft und medizinische Versorgung geltend machen. Des Weiteren handelt es sich beim Beschwerdeführer um einen jungen gesunden Mann, der bereits zuvor in Italien erwerbstätig gewesen ist. Der Vollzug der Wegweisung ist somit zumutbar.</w:t>
      </w:r>
    </w:p>
    <w:p>
      <w:r>
        <w:rPr>
          <w:b/>
        </w:rPr>
        <w:t>E. 5.4</w:t>
      </w:r>
    </w:p>
    <w:p>
      <w:r>
        <w:t>Nachdem die italienischen Behörden einer Rückübernahme des Beschwerdeführers ausdrücklich zugestimmt haben, ist der Vollzug der Wegweisung auch möglich (Art. 83 Abs. 2 AuG).</w:t>
      </w:r>
    </w:p>
    <w:p>
      <w:r>
        <w:rPr>
          <w:b/>
        </w:rPr>
        <w:t>E. 5.5</w:t>
      </w:r>
    </w:p>
    <w:p>
      <w:r>
        <w:t>Zusammenfassend ergibt sich, dass der Wegweisungsvollzug als zulässig, zumutbar und möglich zu erkennen ist, womit die Anordnung einer vorläufigen Aufnahme ausser Betracht fällt (Art. 83 Abs. 1-4 AuG).</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Rechtspflege.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